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3803" w14:textId="77777777" w:rsidR="00E53E9F" w:rsidRPr="00E53E9F" w:rsidRDefault="00E53E9F" w:rsidP="00E53E9F">
      <w:pPr>
        <w:pStyle w:val="Ttulo1"/>
        <w:numPr>
          <w:ilvl w:val="0"/>
          <w:numId w:val="0"/>
        </w:numPr>
        <w:rPr>
          <w:rFonts w:ascii="Arial Narrow" w:hAnsi="Arial Narrow"/>
          <w:sz w:val="22"/>
          <w:szCs w:val="22"/>
        </w:rPr>
      </w:pPr>
      <w:r w:rsidRPr="00E53E9F">
        <w:rPr>
          <w:rFonts w:ascii="Arial Narrow" w:hAnsi="Arial Narrow"/>
          <w:sz w:val="22"/>
          <w:szCs w:val="22"/>
        </w:rPr>
        <w:t>ANEXO – CAUSALES DE MULTA</w:t>
      </w:r>
    </w:p>
    <w:p w14:paraId="4881A12F" w14:textId="78ED988D" w:rsidR="00E53E9F" w:rsidRPr="00E53E9F" w:rsidRDefault="00E53E9F" w:rsidP="0076002A">
      <w:pPr>
        <w:pStyle w:val="Ttulo2"/>
        <w:numPr>
          <w:ilvl w:val="0"/>
          <w:numId w:val="21"/>
        </w:numPr>
        <w:spacing w:after="0" w:line="240" w:lineRule="auto"/>
        <w:rPr>
          <w:rFonts w:ascii="Arial Narrow" w:hAnsi="Arial Narrow"/>
          <w:sz w:val="22"/>
          <w:szCs w:val="22"/>
        </w:rPr>
      </w:pPr>
      <w:r w:rsidRPr="00E53E9F">
        <w:rPr>
          <w:rFonts w:ascii="Arial Narrow" w:hAnsi="Arial Narrow"/>
          <w:sz w:val="22"/>
          <w:szCs w:val="22"/>
        </w:rPr>
        <w:t>Objeto</w:t>
      </w:r>
    </w:p>
    <w:p w14:paraId="173FD15C" w14:textId="77777777" w:rsidR="00E53E9F" w:rsidRDefault="00E53E9F" w:rsidP="00E53E9F">
      <w:pPr>
        <w:jc w:val="both"/>
        <w:rPr>
          <w:rFonts w:ascii="Arial Narrow" w:hAnsi="Arial Narrow"/>
          <w:sz w:val="22"/>
          <w:szCs w:val="22"/>
        </w:rPr>
      </w:pPr>
    </w:p>
    <w:p w14:paraId="3011569A" w14:textId="26428A1C" w:rsidR="00E53E9F" w:rsidRDefault="00E53E9F" w:rsidP="00E53E9F">
      <w:pPr>
        <w:jc w:val="both"/>
        <w:rPr>
          <w:rFonts w:ascii="Arial Narrow" w:hAnsi="Arial Narrow"/>
          <w:sz w:val="22"/>
          <w:szCs w:val="22"/>
        </w:rPr>
      </w:pPr>
      <w:r w:rsidRPr="00E53E9F">
        <w:rPr>
          <w:rFonts w:ascii="Arial Narrow" w:hAnsi="Arial Narrow"/>
          <w:sz w:val="22"/>
          <w:szCs w:val="22"/>
        </w:rPr>
        <w:t xml:space="preserve">El presente Anexo desarrolla lo previsto en la Cláusula </w:t>
      </w:r>
      <w:r w:rsidR="00194A71">
        <w:rPr>
          <w:rFonts w:ascii="Arial Narrow" w:hAnsi="Arial Narrow"/>
          <w:sz w:val="22"/>
          <w:szCs w:val="22"/>
        </w:rPr>
        <w:t>14.3 – Multas, de la Minuta del Contrato</w:t>
      </w:r>
      <w:r w:rsidRPr="00E53E9F">
        <w:rPr>
          <w:rFonts w:ascii="Arial Narrow" w:hAnsi="Arial Narrow"/>
          <w:sz w:val="22"/>
          <w:szCs w:val="22"/>
        </w:rPr>
        <w:t>, estableciendo las causales específicas, fórmulas de cálculo, topes y procedimiento de imposición de multas, en correspondencia directa con las obligaciones contractuales definidas en la minuta del Contrato de Obra.</w:t>
      </w:r>
    </w:p>
    <w:p w14:paraId="5CFDF0AE" w14:textId="77777777" w:rsidR="00E53E9F" w:rsidRDefault="00E53E9F" w:rsidP="00E53E9F">
      <w:pPr>
        <w:pStyle w:val="Ttulo2"/>
        <w:numPr>
          <w:ilvl w:val="0"/>
          <w:numId w:val="0"/>
        </w:numPr>
        <w:spacing w:after="0" w:line="240" w:lineRule="auto"/>
        <w:rPr>
          <w:rFonts w:ascii="Arial Narrow" w:hAnsi="Arial Narrow"/>
          <w:b w:val="0"/>
          <w:bCs w:val="0"/>
          <w:sz w:val="22"/>
          <w:szCs w:val="22"/>
        </w:rPr>
      </w:pPr>
    </w:p>
    <w:p w14:paraId="24341336" w14:textId="6610AF2F" w:rsidR="00E53E9F" w:rsidRDefault="00E53E9F" w:rsidP="0076002A">
      <w:pPr>
        <w:pStyle w:val="Ttulo2"/>
        <w:numPr>
          <w:ilvl w:val="0"/>
          <w:numId w:val="21"/>
        </w:numPr>
        <w:spacing w:after="0" w:line="240" w:lineRule="auto"/>
        <w:rPr>
          <w:rFonts w:ascii="Arial Narrow" w:hAnsi="Arial Narrow"/>
          <w:sz w:val="22"/>
          <w:szCs w:val="22"/>
        </w:rPr>
      </w:pPr>
      <w:r w:rsidRPr="00E53E9F">
        <w:rPr>
          <w:rFonts w:ascii="Arial Narrow" w:hAnsi="Arial Narrow"/>
          <w:sz w:val="22"/>
          <w:szCs w:val="22"/>
        </w:rPr>
        <w:t>Causales de Multa</w:t>
      </w:r>
    </w:p>
    <w:p w14:paraId="700B3B6D" w14:textId="77777777" w:rsidR="00E53E9F" w:rsidRPr="00E53E9F" w:rsidRDefault="00E53E9F" w:rsidP="00E53E9F">
      <w:pPr>
        <w:rPr>
          <w:lang w:val="es-MX" w:eastAsia="en-US"/>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3897"/>
      </w:tblGrid>
      <w:tr w:rsidR="00E53E9F" w:rsidRPr="00E53E9F" w14:paraId="164B5C19" w14:textId="77777777" w:rsidTr="00E53E9F">
        <w:tc>
          <w:tcPr>
            <w:tcW w:w="3332" w:type="dxa"/>
          </w:tcPr>
          <w:p w14:paraId="7CD1BA1B" w14:textId="1FC5DEED" w:rsidR="00E53E9F" w:rsidRPr="00E53E9F" w:rsidRDefault="00E53E9F" w:rsidP="00E53E9F">
            <w:pPr>
              <w:jc w:val="center"/>
              <w:rPr>
                <w:rFonts w:ascii="Arial Narrow" w:hAnsi="Arial Narrow"/>
                <w:b/>
                <w:bCs/>
                <w:sz w:val="22"/>
                <w:szCs w:val="22"/>
              </w:rPr>
            </w:pPr>
            <w:r w:rsidRPr="00E53E9F">
              <w:rPr>
                <w:rFonts w:ascii="Arial Narrow" w:hAnsi="Arial Narrow"/>
                <w:b/>
                <w:bCs/>
                <w:sz w:val="22"/>
                <w:szCs w:val="22"/>
              </w:rPr>
              <w:t>Causal</w:t>
            </w:r>
          </w:p>
        </w:tc>
        <w:tc>
          <w:tcPr>
            <w:tcW w:w="3897" w:type="dxa"/>
          </w:tcPr>
          <w:p w14:paraId="14DDA68E" w14:textId="39F8FB1A" w:rsidR="00E53E9F" w:rsidRPr="00E53E9F" w:rsidRDefault="00E53E9F" w:rsidP="00E53E9F">
            <w:pPr>
              <w:jc w:val="center"/>
              <w:rPr>
                <w:rFonts w:ascii="Arial Narrow" w:hAnsi="Arial Narrow"/>
                <w:b/>
                <w:bCs/>
                <w:sz w:val="22"/>
                <w:szCs w:val="22"/>
              </w:rPr>
            </w:pPr>
            <w:r w:rsidRPr="00E53E9F">
              <w:rPr>
                <w:rFonts w:ascii="Arial Narrow" w:hAnsi="Arial Narrow"/>
                <w:b/>
                <w:bCs/>
                <w:sz w:val="22"/>
                <w:szCs w:val="22"/>
              </w:rPr>
              <w:t>Monto</w:t>
            </w:r>
          </w:p>
        </w:tc>
      </w:tr>
      <w:tr w:rsidR="00E53E9F" w:rsidRPr="00E53E9F" w14:paraId="54A1BC6A" w14:textId="77777777" w:rsidTr="00E53E9F">
        <w:tc>
          <w:tcPr>
            <w:tcW w:w="3332" w:type="dxa"/>
          </w:tcPr>
          <w:p w14:paraId="6418DBA2" w14:textId="77777777" w:rsidR="00E53E9F" w:rsidRPr="00E53E9F" w:rsidRDefault="00E53E9F" w:rsidP="00DA7AE4">
            <w:pPr>
              <w:rPr>
                <w:rFonts w:ascii="Arial Narrow" w:hAnsi="Arial Narrow"/>
                <w:sz w:val="20"/>
                <w:szCs w:val="20"/>
              </w:rPr>
            </w:pPr>
            <w:r w:rsidRPr="00E53E9F">
              <w:rPr>
                <w:rFonts w:ascii="Arial Narrow" w:hAnsi="Arial Narrow"/>
                <w:sz w:val="20"/>
                <w:szCs w:val="20"/>
              </w:rPr>
              <w:t>Demora en el inicio de ejecución de actividades (Cláusula 7.1 y 7.12)</w:t>
            </w:r>
          </w:p>
        </w:tc>
        <w:tc>
          <w:tcPr>
            <w:tcW w:w="3897" w:type="dxa"/>
          </w:tcPr>
          <w:p w14:paraId="28AECAAB" w14:textId="0082459C" w:rsidR="00E53E9F" w:rsidRPr="00E53E9F" w:rsidRDefault="00E53E9F" w:rsidP="00DA7AE4">
            <w:pPr>
              <w:rPr>
                <w:rFonts w:ascii="Arial Narrow" w:hAnsi="Arial Narrow"/>
                <w:sz w:val="20"/>
                <w:szCs w:val="20"/>
              </w:rPr>
            </w:pPr>
            <w:r w:rsidRPr="00E53E9F">
              <w:rPr>
                <w:rFonts w:ascii="Arial Narrow" w:hAnsi="Arial Narrow"/>
                <w:sz w:val="20"/>
                <w:szCs w:val="20"/>
              </w:rPr>
              <w:t>0,1% del valor del hito afectado por cada día de retraso, hasta máximo quince (15) días.</w:t>
            </w:r>
          </w:p>
        </w:tc>
      </w:tr>
      <w:tr w:rsidR="00E53E9F" w:rsidRPr="00E53E9F" w14:paraId="5870D20A" w14:textId="77777777" w:rsidTr="00E53E9F">
        <w:tc>
          <w:tcPr>
            <w:tcW w:w="3332" w:type="dxa"/>
          </w:tcPr>
          <w:p w14:paraId="5BC6147C" w14:textId="77777777" w:rsidR="00E53E9F" w:rsidRPr="00E53E9F" w:rsidRDefault="00E53E9F" w:rsidP="00DA7AE4">
            <w:pPr>
              <w:rPr>
                <w:rFonts w:ascii="Arial Narrow" w:hAnsi="Arial Narrow"/>
                <w:sz w:val="20"/>
                <w:szCs w:val="20"/>
              </w:rPr>
            </w:pPr>
            <w:r w:rsidRPr="00E53E9F">
              <w:rPr>
                <w:rFonts w:ascii="Arial Narrow" w:hAnsi="Arial Narrow"/>
                <w:sz w:val="20"/>
                <w:szCs w:val="20"/>
              </w:rPr>
              <w:t>Incumplimiento del ritmo de avance (Cláusula 7.8)</w:t>
            </w:r>
          </w:p>
        </w:tc>
        <w:tc>
          <w:tcPr>
            <w:tcW w:w="3897" w:type="dxa"/>
          </w:tcPr>
          <w:p w14:paraId="590CBB0D" w14:textId="483040BC" w:rsidR="00E53E9F" w:rsidRPr="00E53E9F" w:rsidRDefault="00E53E9F" w:rsidP="00DA7AE4">
            <w:pPr>
              <w:rPr>
                <w:rFonts w:ascii="Arial Narrow" w:hAnsi="Arial Narrow"/>
                <w:sz w:val="20"/>
                <w:szCs w:val="20"/>
              </w:rPr>
            </w:pPr>
            <w:r w:rsidRPr="00E53E9F">
              <w:rPr>
                <w:rFonts w:ascii="Arial Narrow" w:hAnsi="Arial Narrow"/>
                <w:sz w:val="20"/>
                <w:szCs w:val="20"/>
              </w:rPr>
              <w:t>0,05% del valor del contrato por cada semana de atraso no justificado.</w:t>
            </w:r>
          </w:p>
        </w:tc>
      </w:tr>
      <w:tr w:rsidR="00E53E9F" w:rsidRPr="00E53E9F" w14:paraId="58076251" w14:textId="77777777" w:rsidTr="00E53E9F">
        <w:tc>
          <w:tcPr>
            <w:tcW w:w="3332" w:type="dxa"/>
          </w:tcPr>
          <w:p w14:paraId="7B36AE2F" w14:textId="77777777" w:rsidR="00E53E9F" w:rsidRPr="00E53E9F" w:rsidRDefault="00E53E9F" w:rsidP="00DA7AE4">
            <w:pPr>
              <w:rPr>
                <w:rFonts w:ascii="Arial Narrow" w:hAnsi="Arial Narrow"/>
                <w:sz w:val="20"/>
                <w:szCs w:val="20"/>
              </w:rPr>
            </w:pPr>
            <w:r w:rsidRPr="00E53E9F">
              <w:rPr>
                <w:rFonts w:ascii="Arial Narrow" w:hAnsi="Arial Narrow"/>
                <w:sz w:val="20"/>
                <w:szCs w:val="20"/>
              </w:rPr>
              <w:t>Entrega extemporánea de entregables técnicos o documentales (Cláusulas 4.7, 6.10 y 10.6)</w:t>
            </w:r>
          </w:p>
        </w:tc>
        <w:tc>
          <w:tcPr>
            <w:tcW w:w="3897" w:type="dxa"/>
          </w:tcPr>
          <w:p w14:paraId="7BC53822" w14:textId="50E55B8C" w:rsidR="00E53E9F" w:rsidRPr="00E53E9F" w:rsidRDefault="00E53E9F" w:rsidP="00DA7AE4">
            <w:pPr>
              <w:rPr>
                <w:rFonts w:ascii="Arial Narrow" w:hAnsi="Arial Narrow"/>
                <w:sz w:val="20"/>
                <w:szCs w:val="20"/>
              </w:rPr>
            </w:pPr>
            <w:r w:rsidRPr="00E53E9F">
              <w:rPr>
                <w:rFonts w:ascii="Arial Narrow" w:hAnsi="Arial Narrow"/>
                <w:sz w:val="20"/>
                <w:szCs w:val="20"/>
              </w:rPr>
              <w:t>0,05% del valor del hito correspondiente por cada día de retraso.</w:t>
            </w:r>
          </w:p>
        </w:tc>
      </w:tr>
      <w:tr w:rsidR="00E53E9F" w:rsidRPr="00E53E9F" w14:paraId="46EE41BD" w14:textId="77777777" w:rsidTr="00E53E9F">
        <w:tc>
          <w:tcPr>
            <w:tcW w:w="3332" w:type="dxa"/>
          </w:tcPr>
          <w:p w14:paraId="2E53A1E8" w14:textId="77777777" w:rsidR="00E53E9F" w:rsidRPr="00E53E9F" w:rsidRDefault="00E53E9F" w:rsidP="00DA7AE4">
            <w:pPr>
              <w:rPr>
                <w:rFonts w:ascii="Arial Narrow" w:hAnsi="Arial Narrow"/>
                <w:sz w:val="20"/>
                <w:szCs w:val="20"/>
              </w:rPr>
            </w:pPr>
            <w:r w:rsidRPr="00E53E9F">
              <w:rPr>
                <w:rFonts w:ascii="Arial Narrow" w:hAnsi="Arial Narrow"/>
                <w:sz w:val="20"/>
                <w:szCs w:val="20"/>
              </w:rPr>
              <w:t>Fallas en la seguridad y salud en el trabajo – SST (Cláusulas 4.9 y 4.27)</w:t>
            </w:r>
          </w:p>
        </w:tc>
        <w:tc>
          <w:tcPr>
            <w:tcW w:w="3897" w:type="dxa"/>
          </w:tcPr>
          <w:p w14:paraId="59770B02" w14:textId="15059B30" w:rsidR="00E53E9F" w:rsidRPr="00E53E9F" w:rsidRDefault="00E53E9F" w:rsidP="00DA7AE4">
            <w:pPr>
              <w:rPr>
                <w:rFonts w:ascii="Arial Narrow" w:hAnsi="Arial Narrow"/>
                <w:sz w:val="20"/>
                <w:szCs w:val="20"/>
              </w:rPr>
            </w:pPr>
            <w:r w:rsidRPr="00E53E9F">
              <w:rPr>
                <w:rFonts w:ascii="Arial Narrow" w:hAnsi="Arial Narrow"/>
                <w:sz w:val="20"/>
                <w:szCs w:val="20"/>
              </w:rPr>
              <w:t>200 SMMLV por cada incidente verificado.</w:t>
            </w:r>
          </w:p>
        </w:tc>
      </w:tr>
      <w:tr w:rsidR="00E53E9F" w:rsidRPr="00E53E9F" w14:paraId="60C60BAC" w14:textId="77777777" w:rsidTr="00E53E9F">
        <w:tc>
          <w:tcPr>
            <w:tcW w:w="3332" w:type="dxa"/>
          </w:tcPr>
          <w:p w14:paraId="3D5CCCB9" w14:textId="77777777" w:rsidR="00E53E9F" w:rsidRPr="00E53E9F" w:rsidRDefault="00E53E9F" w:rsidP="00DA7AE4">
            <w:pPr>
              <w:rPr>
                <w:rFonts w:ascii="Arial Narrow" w:hAnsi="Arial Narrow"/>
                <w:sz w:val="20"/>
                <w:szCs w:val="20"/>
              </w:rPr>
            </w:pPr>
            <w:r w:rsidRPr="00E53E9F">
              <w:rPr>
                <w:rFonts w:ascii="Arial Narrow" w:hAnsi="Arial Narrow"/>
                <w:sz w:val="20"/>
                <w:szCs w:val="20"/>
              </w:rPr>
              <w:t>Incumplimiento de obligaciones ambientales (Cláusulas 4.22 y 4.23)</w:t>
            </w:r>
          </w:p>
        </w:tc>
        <w:tc>
          <w:tcPr>
            <w:tcW w:w="3897" w:type="dxa"/>
          </w:tcPr>
          <w:p w14:paraId="2C269F9D" w14:textId="2E73E782" w:rsidR="00E53E9F" w:rsidRPr="00E53E9F" w:rsidRDefault="00E53E9F" w:rsidP="00DA7AE4">
            <w:pPr>
              <w:rPr>
                <w:rFonts w:ascii="Arial Narrow" w:hAnsi="Arial Narrow"/>
                <w:sz w:val="20"/>
                <w:szCs w:val="20"/>
              </w:rPr>
            </w:pPr>
            <w:r w:rsidRPr="00E53E9F">
              <w:rPr>
                <w:rFonts w:ascii="Arial Narrow" w:hAnsi="Arial Narrow"/>
                <w:sz w:val="20"/>
                <w:szCs w:val="20"/>
              </w:rPr>
              <w:t>0,1% del valor del contrato por cada evento.</w:t>
            </w:r>
          </w:p>
        </w:tc>
      </w:tr>
      <w:tr w:rsidR="00E53E9F" w:rsidRPr="00E53E9F" w14:paraId="6E69BD7B" w14:textId="77777777" w:rsidTr="00E53E9F">
        <w:tc>
          <w:tcPr>
            <w:tcW w:w="3332" w:type="dxa"/>
          </w:tcPr>
          <w:p w14:paraId="28BAA3D2" w14:textId="77777777" w:rsidR="00E53E9F" w:rsidRPr="00E53E9F" w:rsidRDefault="00E53E9F" w:rsidP="00DA7AE4">
            <w:pPr>
              <w:rPr>
                <w:rFonts w:ascii="Arial Narrow" w:hAnsi="Arial Narrow"/>
                <w:sz w:val="20"/>
                <w:szCs w:val="20"/>
              </w:rPr>
            </w:pPr>
            <w:r w:rsidRPr="00E53E9F">
              <w:rPr>
                <w:rFonts w:ascii="Arial Narrow" w:hAnsi="Arial Narrow"/>
                <w:sz w:val="20"/>
                <w:szCs w:val="20"/>
              </w:rPr>
              <w:t>Defectos no corregidos en materiales, procesos o pruebas (Cláusulas 6.11, 6.12 y 10.8)</w:t>
            </w:r>
          </w:p>
        </w:tc>
        <w:tc>
          <w:tcPr>
            <w:tcW w:w="3897" w:type="dxa"/>
          </w:tcPr>
          <w:p w14:paraId="1B2B7D11" w14:textId="20AF9D56" w:rsidR="00E53E9F" w:rsidRPr="00E53E9F" w:rsidRDefault="00E53E9F" w:rsidP="00DA7AE4">
            <w:pPr>
              <w:rPr>
                <w:rFonts w:ascii="Arial Narrow" w:hAnsi="Arial Narrow"/>
                <w:sz w:val="20"/>
                <w:szCs w:val="20"/>
              </w:rPr>
            </w:pPr>
            <w:r w:rsidRPr="00E53E9F">
              <w:rPr>
                <w:rFonts w:ascii="Arial Narrow" w:hAnsi="Arial Narrow"/>
                <w:sz w:val="20"/>
                <w:szCs w:val="20"/>
              </w:rPr>
              <w:t>0,05% del valor del hito afectado por cada día de persistencia.</w:t>
            </w:r>
          </w:p>
        </w:tc>
      </w:tr>
      <w:tr w:rsidR="00E53E9F" w:rsidRPr="00E53E9F" w14:paraId="7484173A" w14:textId="77777777" w:rsidTr="00E53E9F">
        <w:tc>
          <w:tcPr>
            <w:tcW w:w="3332" w:type="dxa"/>
          </w:tcPr>
          <w:p w14:paraId="6996FC63" w14:textId="77777777" w:rsidR="00E53E9F" w:rsidRPr="00E53E9F" w:rsidRDefault="00E53E9F" w:rsidP="00DA7AE4">
            <w:pPr>
              <w:rPr>
                <w:rFonts w:ascii="Arial Narrow" w:hAnsi="Arial Narrow"/>
                <w:sz w:val="20"/>
                <w:szCs w:val="20"/>
              </w:rPr>
            </w:pPr>
            <w:r w:rsidRPr="00E53E9F">
              <w:rPr>
                <w:rFonts w:ascii="Arial Narrow" w:hAnsi="Arial Narrow"/>
                <w:sz w:val="20"/>
                <w:szCs w:val="20"/>
              </w:rPr>
              <w:t>Incumplimiento de ANS – Acuerdos de Nivel de Servicio (Cláusulas 14.1 y 14.2)</w:t>
            </w:r>
          </w:p>
        </w:tc>
        <w:tc>
          <w:tcPr>
            <w:tcW w:w="3897" w:type="dxa"/>
          </w:tcPr>
          <w:p w14:paraId="605D4099" w14:textId="5460F6E5" w:rsidR="00E53E9F" w:rsidRPr="00E53E9F" w:rsidRDefault="00E53E9F" w:rsidP="00DA7AE4">
            <w:pPr>
              <w:rPr>
                <w:rFonts w:ascii="Arial Narrow" w:hAnsi="Arial Narrow"/>
                <w:sz w:val="20"/>
                <w:szCs w:val="20"/>
              </w:rPr>
            </w:pPr>
            <w:r>
              <w:rPr>
                <w:rFonts w:ascii="Arial Narrow" w:hAnsi="Arial Narrow"/>
                <w:sz w:val="20"/>
                <w:szCs w:val="20"/>
              </w:rPr>
              <w:t>S</w:t>
            </w:r>
            <w:r w:rsidRPr="00E53E9F">
              <w:rPr>
                <w:rFonts w:ascii="Arial Narrow" w:hAnsi="Arial Narrow"/>
                <w:sz w:val="20"/>
                <w:szCs w:val="20"/>
              </w:rPr>
              <w:t>egún parámetro afectado, entre 0,05% y 0,1% del valor mensual de retención periódica.</w:t>
            </w:r>
          </w:p>
        </w:tc>
      </w:tr>
      <w:tr w:rsidR="00E53E9F" w:rsidRPr="00E53E9F" w14:paraId="287ABB5E" w14:textId="77777777" w:rsidTr="00E53E9F">
        <w:tc>
          <w:tcPr>
            <w:tcW w:w="3332" w:type="dxa"/>
          </w:tcPr>
          <w:p w14:paraId="0A7C109F" w14:textId="7795BB50" w:rsidR="00E53E9F" w:rsidRPr="00E53E9F" w:rsidRDefault="00E53E9F" w:rsidP="00DA7AE4">
            <w:pPr>
              <w:rPr>
                <w:rFonts w:ascii="Arial Narrow" w:hAnsi="Arial Narrow"/>
                <w:sz w:val="20"/>
                <w:szCs w:val="20"/>
              </w:rPr>
            </w:pPr>
            <w:r w:rsidRPr="00E53E9F">
              <w:rPr>
                <w:rFonts w:ascii="Arial Narrow" w:hAnsi="Arial Narrow"/>
                <w:sz w:val="20"/>
                <w:szCs w:val="20"/>
              </w:rPr>
              <w:t>Falta de priorización de mano de obra local y</w:t>
            </w:r>
            <w:r w:rsidR="00A624E0">
              <w:rPr>
                <w:rFonts w:ascii="Arial Narrow" w:hAnsi="Arial Narrow"/>
                <w:sz w:val="20"/>
                <w:szCs w:val="20"/>
              </w:rPr>
              <w:t>/o</w:t>
            </w:r>
            <w:r w:rsidRPr="00E53E9F">
              <w:rPr>
                <w:rFonts w:ascii="Arial Narrow" w:hAnsi="Arial Narrow"/>
                <w:sz w:val="20"/>
                <w:szCs w:val="20"/>
              </w:rPr>
              <w:t xml:space="preserve"> participación de mujeres (Cláusulas 5.7 y 5.8)</w:t>
            </w:r>
          </w:p>
        </w:tc>
        <w:tc>
          <w:tcPr>
            <w:tcW w:w="3897" w:type="dxa"/>
          </w:tcPr>
          <w:p w14:paraId="549663AD" w14:textId="26EC9745" w:rsidR="00E53E9F" w:rsidRPr="00E53E9F" w:rsidRDefault="00E53E9F" w:rsidP="00DA7AE4">
            <w:pPr>
              <w:rPr>
                <w:rFonts w:ascii="Arial Narrow" w:hAnsi="Arial Narrow"/>
                <w:sz w:val="20"/>
                <w:szCs w:val="20"/>
              </w:rPr>
            </w:pPr>
            <w:r w:rsidRPr="00E53E9F">
              <w:rPr>
                <w:rFonts w:ascii="Arial Narrow" w:hAnsi="Arial Narrow"/>
                <w:sz w:val="20"/>
                <w:szCs w:val="20"/>
              </w:rPr>
              <w:t>100 SMMLV por cada mes de incumplimiento comprobado.</w:t>
            </w:r>
          </w:p>
        </w:tc>
      </w:tr>
      <w:tr w:rsidR="00E53E9F" w:rsidRPr="00E53E9F" w14:paraId="3696B9C1" w14:textId="77777777" w:rsidTr="00E53E9F">
        <w:tc>
          <w:tcPr>
            <w:tcW w:w="3332" w:type="dxa"/>
          </w:tcPr>
          <w:p w14:paraId="0772BE9F" w14:textId="77777777" w:rsidR="00E53E9F" w:rsidRPr="00E53E9F" w:rsidRDefault="00E53E9F" w:rsidP="00DA7AE4">
            <w:pPr>
              <w:rPr>
                <w:rFonts w:ascii="Arial Narrow" w:hAnsi="Arial Narrow"/>
                <w:sz w:val="20"/>
                <w:szCs w:val="20"/>
              </w:rPr>
            </w:pPr>
            <w:r w:rsidRPr="00E53E9F">
              <w:rPr>
                <w:rFonts w:ascii="Arial Narrow" w:hAnsi="Arial Narrow"/>
                <w:sz w:val="20"/>
                <w:szCs w:val="20"/>
              </w:rPr>
              <w:t>No atención de requerimientos de la Interventoría o del Contratante (Cláusulas 4.8, 6.10 y 14.6)</w:t>
            </w:r>
          </w:p>
        </w:tc>
        <w:tc>
          <w:tcPr>
            <w:tcW w:w="3897" w:type="dxa"/>
          </w:tcPr>
          <w:p w14:paraId="58079973" w14:textId="72FC29B6" w:rsidR="00E53E9F" w:rsidRPr="00E53E9F" w:rsidRDefault="00E53E9F" w:rsidP="00DA7AE4">
            <w:pPr>
              <w:rPr>
                <w:rFonts w:ascii="Arial Narrow" w:hAnsi="Arial Narrow"/>
                <w:sz w:val="20"/>
                <w:szCs w:val="20"/>
              </w:rPr>
            </w:pPr>
            <w:r w:rsidRPr="00E53E9F">
              <w:rPr>
                <w:rFonts w:ascii="Arial Narrow" w:hAnsi="Arial Narrow"/>
                <w:sz w:val="20"/>
                <w:szCs w:val="20"/>
              </w:rPr>
              <w:t>0,05% del valor del contrato por cada requerimiento no atendido.</w:t>
            </w:r>
          </w:p>
        </w:tc>
      </w:tr>
    </w:tbl>
    <w:p w14:paraId="22050624" w14:textId="203728A3" w:rsidR="00E53E9F" w:rsidRDefault="00E53E9F" w:rsidP="00E53E9F">
      <w:pPr>
        <w:pStyle w:val="Ttulo2"/>
        <w:numPr>
          <w:ilvl w:val="0"/>
          <w:numId w:val="0"/>
        </w:numPr>
        <w:rPr>
          <w:rFonts w:ascii="Arial Narrow" w:hAnsi="Arial Narrow"/>
          <w:b w:val="0"/>
          <w:bCs w:val="0"/>
          <w:sz w:val="22"/>
          <w:szCs w:val="22"/>
        </w:rPr>
      </w:pPr>
    </w:p>
    <w:p w14:paraId="3EDB49A5" w14:textId="690F9CE2" w:rsidR="00E53E9F" w:rsidRPr="00E53E9F" w:rsidRDefault="00E53E9F" w:rsidP="0076002A">
      <w:pPr>
        <w:pStyle w:val="Ttulo2"/>
        <w:numPr>
          <w:ilvl w:val="0"/>
          <w:numId w:val="21"/>
        </w:numPr>
        <w:rPr>
          <w:rFonts w:ascii="Arial Narrow" w:hAnsi="Arial Narrow"/>
          <w:b w:val="0"/>
          <w:bCs w:val="0"/>
          <w:sz w:val="22"/>
          <w:szCs w:val="22"/>
        </w:rPr>
      </w:pPr>
      <w:r w:rsidRPr="00E53E9F">
        <w:rPr>
          <w:rFonts w:ascii="Arial Narrow" w:hAnsi="Arial Narrow"/>
          <w:b w:val="0"/>
          <w:bCs w:val="0"/>
          <w:sz w:val="22"/>
          <w:szCs w:val="22"/>
        </w:rPr>
        <w:t>Límites acumulados</w:t>
      </w:r>
    </w:p>
    <w:p w14:paraId="17E0FB32" w14:textId="77777777" w:rsidR="00E53E9F" w:rsidRDefault="00E53E9F" w:rsidP="00E53E9F">
      <w:pPr>
        <w:rPr>
          <w:rFonts w:ascii="Arial Narrow" w:hAnsi="Arial Narrow"/>
          <w:sz w:val="22"/>
          <w:szCs w:val="22"/>
        </w:rPr>
      </w:pPr>
      <w:r w:rsidRPr="00E53E9F">
        <w:rPr>
          <w:rFonts w:ascii="Arial Narrow" w:hAnsi="Arial Narrow"/>
          <w:sz w:val="22"/>
          <w:szCs w:val="22"/>
        </w:rPr>
        <w:t xml:space="preserve">El valor total de multas no podrá superar el cinco por ciento (5%) del valor del contrato. </w:t>
      </w:r>
    </w:p>
    <w:p w14:paraId="10E2EC2A" w14:textId="77777777" w:rsidR="00E53E9F" w:rsidRDefault="00E53E9F" w:rsidP="00E53E9F">
      <w:pPr>
        <w:rPr>
          <w:rFonts w:ascii="Arial Narrow" w:hAnsi="Arial Narrow"/>
          <w:sz w:val="22"/>
          <w:szCs w:val="22"/>
        </w:rPr>
      </w:pPr>
    </w:p>
    <w:p w14:paraId="159FB0E1" w14:textId="0F34BBD9" w:rsidR="00E53E9F" w:rsidRPr="00E53E9F" w:rsidRDefault="00E53E9F" w:rsidP="00E53E9F">
      <w:pPr>
        <w:rPr>
          <w:rFonts w:ascii="Arial Narrow" w:hAnsi="Arial Narrow"/>
          <w:sz w:val="22"/>
          <w:szCs w:val="22"/>
        </w:rPr>
      </w:pPr>
    </w:p>
    <w:sectPr w:rsidR="00E53E9F" w:rsidRPr="00E53E9F" w:rsidSect="00CC1EE4">
      <w:headerReference w:type="default" r:id="rId13"/>
      <w:footerReference w:type="default" r:id="rId14"/>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B41F" w14:textId="77777777" w:rsidR="00F757E4" w:rsidRDefault="00F757E4">
      <w:r>
        <w:separator/>
      </w:r>
    </w:p>
  </w:endnote>
  <w:endnote w:type="continuationSeparator" w:id="0">
    <w:p w14:paraId="11C4BC16" w14:textId="77777777" w:rsidR="00F757E4" w:rsidRDefault="00F757E4">
      <w:r>
        <w:continuationSeparator/>
      </w:r>
    </w:p>
  </w:endnote>
  <w:endnote w:type="continuationNotice" w:id="1">
    <w:p w14:paraId="49702535" w14:textId="77777777" w:rsidR="00F757E4" w:rsidRDefault="00F75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3B78" w14:textId="77777777" w:rsidR="00F757E4" w:rsidRDefault="00F757E4">
      <w:r>
        <w:separator/>
      </w:r>
    </w:p>
  </w:footnote>
  <w:footnote w:type="continuationSeparator" w:id="0">
    <w:p w14:paraId="6588D1F4" w14:textId="77777777" w:rsidR="00F757E4" w:rsidRDefault="00F757E4">
      <w:r>
        <w:continuationSeparator/>
      </w:r>
    </w:p>
  </w:footnote>
  <w:footnote w:type="continuationNotice" w:id="1">
    <w:p w14:paraId="7D062A27" w14:textId="77777777" w:rsidR="00F757E4" w:rsidRDefault="00F75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5C2A6F46"/>
    <w:multiLevelType w:val="hybridMultilevel"/>
    <w:tmpl w:val="827A0D34"/>
    <w:lvl w:ilvl="0" w:tplc="A64C499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5"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7B85880"/>
    <w:multiLevelType w:val="multilevel"/>
    <w:tmpl w:val="0C9C26D2"/>
    <w:lvl w:ilvl="0">
      <w:start w:val="1"/>
      <w:numFmt w:val="upperRoman"/>
      <w:pStyle w:val="Ttulo1"/>
      <w:suff w:val="nothing"/>
      <w:lvlText w:val="CAPÍTULO %1 "/>
      <w:lvlJc w:val="left"/>
      <w:pPr>
        <w:ind w:left="4111" w:firstLine="0"/>
      </w:pPr>
      <w:rPr>
        <w:rFonts w:hint="default"/>
      </w:rPr>
    </w:lvl>
    <w:lvl w:ilvl="1">
      <w:start w:val="1"/>
      <w:numFmt w:val="decimal"/>
      <w:pStyle w:val="Ttulo2"/>
      <w:isLgl/>
      <w:lvlText w:val="%1.%2"/>
      <w:lvlJc w:val="left"/>
      <w:pPr>
        <w:ind w:left="4252" w:hanging="709"/>
      </w:pPr>
      <w:rPr>
        <w:rFonts w:hint="default"/>
        <w:b/>
        <w:bCs/>
        <w:u w:val="none"/>
      </w:rPr>
    </w:lvl>
    <w:lvl w:ilvl="2">
      <w:start w:val="1"/>
      <w:numFmt w:val="decimal"/>
      <w:isLgl/>
      <w:lvlText w:val="%1.%2.%3"/>
      <w:lvlJc w:val="left"/>
      <w:pPr>
        <w:ind w:left="4252" w:hanging="709"/>
      </w:pPr>
      <w:rPr>
        <w:rFonts w:hint="default"/>
        <w:b/>
        <w:bCs/>
      </w:rPr>
    </w:lvl>
    <w:lvl w:ilvl="3">
      <w:start w:val="1"/>
      <w:numFmt w:val="lowerLetter"/>
      <w:lvlText w:val="(%4)"/>
      <w:lvlJc w:val="left"/>
      <w:pPr>
        <w:tabs>
          <w:tab w:val="num" w:pos="4961"/>
        </w:tabs>
        <w:ind w:left="4961" w:hanging="709"/>
      </w:pPr>
      <w:rPr>
        <w:rFonts w:hint="default"/>
        <w:b w:val="0"/>
        <w:bCs w:val="0"/>
      </w:rPr>
    </w:lvl>
    <w:lvl w:ilvl="4">
      <w:start w:val="1"/>
      <w:numFmt w:val="lowerRoman"/>
      <w:lvlText w:val="(%5)"/>
      <w:lvlJc w:val="left"/>
      <w:pPr>
        <w:tabs>
          <w:tab w:val="num" w:pos="5669"/>
        </w:tabs>
        <w:ind w:left="5669" w:hanging="708"/>
      </w:pPr>
      <w:rPr>
        <w:rFonts w:hint="default"/>
        <w:b w:val="0"/>
        <w:bCs w:val="0"/>
      </w:rPr>
    </w:lvl>
    <w:lvl w:ilvl="5">
      <w:start w:val="1"/>
      <w:numFmt w:val="upperLetter"/>
      <w:lvlText w:val="(%6)"/>
      <w:lvlJc w:val="left"/>
      <w:pPr>
        <w:tabs>
          <w:tab w:val="num" w:pos="6378"/>
        </w:tabs>
        <w:ind w:left="6378" w:hanging="709"/>
      </w:pPr>
      <w:rPr>
        <w:rFonts w:hint="default"/>
      </w:rPr>
    </w:lvl>
    <w:lvl w:ilvl="6">
      <w:start w:val="1"/>
      <w:numFmt w:val="decimal"/>
      <w:lvlText w:val="(%7)"/>
      <w:lvlJc w:val="left"/>
      <w:pPr>
        <w:tabs>
          <w:tab w:val="num" w:pos="6378"/>
        </w:tabs>
        <w:ind w:left="7087" w:hanging="709"/>
      </w:pPr>
      <w:rPr>
        <w:rFonts w:hint="default"/>
      </w:rPr>
    </w:lvl>
    <w:lvl w:ilvl="7">
      <w:start w:val="1"/>
      <w:numFmt w:val="none"/>
      <w:lvlRestart w:val="0"/>
      <w:suff w:val="nothing"/>
      <w:lvlText w:val=""/>
      <w:lvlJc w:val="left"/>
      <w:pPr>
        <w:ind w:left="3543" w:firstLine="0"/>
      </w:pPr>
      <w:rPr>
        <w:rFonts w:hint="default"/>
      </w:rPr>
    </w:lvl>
    <w:lvl w:ilvl="8">
      <w:start w:val="1"/>
      <w:numFmt w:val="none"/>
      <w:lvlRestart w:val="0"/>
      <w:suff w:val="nothing"/>
      <w:lvlText w:val=""/>
      <w:lvlJc w:val="left"/>
      <w:pPr>
        <w:ind w:left="3543" w:firstLine="0"/>
      </w:pPr>
      <w:rPr>
        <w:rFonts w:hint="default"/>
      </w:rPr>
    </w:lvl>
  </w:abstractNum>
  <w:abstractNum w:abstractNumId="19"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5"/>
  </w:num>
  <w:num w:numId="3" w16cid:durableId="1646813941">
    <w:abstractNumId w:val="14"/>
  </w:num>
  <w:num w:numId="4" w16cid:durableId="641352202">
    <w:abstractNumId w:val="16"/>
  </w:num>
  <w:num w:numId="5" w16cid:durableId="2142653268">
    <w:abstractNumId w:val="17"/>
  </w:num>
  <w:num w:numId="6" w16cid:durableId="270481401">
    <w:abstractNumId w:val="10"/>
  </w:num>
  <w:num w:numId="7" w16cid:durableId="300159680">
    <w:abstractNumId w:val="18"/>
  </w:num>
  <w:num w:numId="8" w16cid:durableId="1821383409">
    <w:abstractNumId w:val="11"/>
  </w:num>
  <w:num w:numId="9" w16cid:durableId="2048874492">
    <w:abstractNumId w:val="13"/>
  </w:num>
  <w:num w:numId="10" w16cid:durableId="1724909341">
    <w:abstractNumId w:val="20"/>
  </w:num>
  <w:num w:numId="11" w16cid:durableId="1258172246">
    <w:abstractNumId w:val="15"/>
  </w:num>
  <w:num w:numId="12" w16cid:durableId="637420899">
    <w:abstractNumId w:val="4"/>
  </w:num>
  <w:num w:numId="13" w16cid:durableId="54202505">
    <w:abstractNumId w:val="1"/>
  </w:num>
  <w:num w:numId="14" w16cid:durableId="1275745002">
    <w:abstractNumId w:val="8"/>
  </w:num>
  <w:num w:numId="15" w16cid:durableId="809789567">
    <w:abstractNumId w:val="3"/>
  </w:num>
  <w:num w:numId="16" w16cid:durableId="2049450445">
    <w:abstractNumId w:val="7"/>
  </w:num>
  <w:num w:numId="17" w16cid:durableId="1585332074">
    <w:abstractNumId w:val="9"/>
  </w:num>
  <w:num w:numId="18" w16cid:durableId="1922911312">
    <w:abstractNumId w:val="19"/>
  </w:num>
  <w:num w:numId="19" w16cid:durableId="1922176629">
    <w:abstractNumId w:val="6"/>
  </w:num>
  <w:num w:numId="20" w16cid:durableId="185796372">
    <w:abstractNumId w:val="0"/>
  </w:num>
  <w:num w:numId="21" w16cid:durableId="104067086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6F9"/>
    <w:rsid w:val="000F7857"/>
    <w:rsid w:val="000F7E9D"/>
    <w:rsid w:val="000F7F90"/>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6B9A"/>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569"/>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71"/>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8D"/>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4BD"/>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3F2B"/>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15D"/>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78B"/>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A7AD1"/>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2E24"/>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1E56"/>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02A"/>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7E"/>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5F7"/>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98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B69"/>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37E"/>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772"/>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4E0"/>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009"/>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2F5A"/>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7AD"/>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AE4"/>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3E9F"/>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540"/>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7E4"/>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 w:type="character" w:customStyle="1" w:styleId="katex-mathml">
    <w:name w:val="katex-mathml"/>
    <w:basedOn w:val="Fuentedeprrafopredeter"/>
    <w:rsid w:val="00106B9A"/>
  </w:style>
  <w:style w:type="character" w:customStyle="1" w:styleId="mord">
    <w:name w:val="mord"/>
    <w:basedOn w:val="Fuentedeprrafopredeter"/>
    <w:rsid w:val="00106B9A"/>
  </w:style>
  <w:style w:type="character" w:customStyle="1" w:styleId="vlist-s">
    <w:name w:val="vlist-s"/>
    <w:basedOn w:val="Fuentedeprrafopredeter"/>
    <w:rsid w:val="00106B9A"/>
  </w:style>
  <w:style w:type="character" w:customStyle="1" w:styleId="mpunct">
    <w:name w:val="mpunct"/>
    <w:basedOn w:val="Fuentedeprrafopredeter"/>
    <w:rsid w:val="00106B9A"/>
  </w:style>
  <w:style w:type="character" w:customStyle="1" w:styleId="mbin">
    <w:name w:val="mbin"/>
    <w:basedOn w:val="Fuentedeprrafopredeter"/>
    <w:rsid w:val="0023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r o o t   x m l n s = " h t t p : / / s c h e m a s . m a c r o v i e w . c o m . a u / b m o f f i c e / b l a n k " >  
 < / 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3.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4.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5.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6.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10</cp:revision>
  <dcterms:created xsi:type="dcterms:W3CDTF">2025-08-23T20:44:00Z</dcterms:created>
  <dcterms:modified xsi:type="dcterms:W3CDTF">2025-08-23T20:59:00Z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