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A7CB8" w14:textId="77777777" w:rsidR="007F3FCD" w:rsidRPr="00960EC2" w:rsidRDefault="007F3FCD" w:rsidP="00234F90">
      <w:pPr>
        <w:pStyle w:val="Ttulo1"/>
        <w:spacing w:before="0" w:line="240" w:lineRule="auto"/>
        <w:ind w:left="360" w:hanging="360"/>
        <w:jc w:val="center"/>
        <w:rPr>
          <w:rFonts w:asciiTheme="majorHAnsi" w:eastAsia="Calibri" w:hAnsiTheme="majorHAnsi" w:cstheme="majorHAnsi"/>
          <w:sz w:val="22"/>
          <w:szCs w:val="22"/>
        </w:rPr>
      </w:pPr>
      <w:bookmarkStart w:id="0" w:name="_Toc1660665"/>
      <w:bookmarkStart w:id="1" w:name="_Toc536190060"/>
      <w:bookmarkStart w:id="2" w:name="_Toc8733280"/>
      <w:bookmarkStart w:id="3" w:name="_Toc536190059"/>
    </w:p>
    <w:p w14:paraId="26D0518C" w14:textId="69E0405C" w:rsidR="009160FA" w:rsidRPr="00960EC2" w:rsidRDefault="009160FA" w:rsidP="00413B0A">
      <w:pPr>
        <w:pStyle w:val="Ttulo1"/>
        <w:spacing w:before="0" w:line="240" w:lineRule="auto"/>
        <w:ind w:left="360" w:hanging="360"/>
        <w:jc w:val="center"/>
        <w:rPr>
          <w:rFonts w:asciiTheme="majorHAnsi" w:eastAsia="Calibri" w:hAnsiTheme="majorHAnsi" w:cstheme="majorHAnsi"/>
          <w:sz w:val="22"/>
          <w:szCs w:val="22"/>
        </w:rPr>
      </w:pPr>
      <w:r w:rsidRPr="00960EC2">
        <w:rPr>
          <w:rFonts w:asciiTheme="majorHAnsi" w:eastAsia="Calibri" w:hAnsiTheme="majorHAnsi" w:cstheme="majorHAnsi"/>
          <w:sz w:val="22"/>
          <w:szCs w:val="22"/>
        </w:rPr>
        <w:t xml:space="preserve">ANEXO No. </w:t>
      </w:r>
      <w:bookmarkEnd w:id="0"/>
      <w:r w:rsidR="00F76693">
        <w:rPr>
          <w:rFonts w:asciiTheme="majorHAnsi" w:eastAsia="Calibri" w:hAnsiTheme="majorHAnsi" w:cstheme="majorHAnsi"/>
          <w:sz w:val="22"/>
          <w:szCs w:val="22"/>
        </w:rPr>
        <w:t>6</w:t>
      </w:r>
      <w:bookmarkStart w:id="4" w:name="_GoBack"/>
      <w:bookmarkEnd w:id="4"/>
    </w:p>
    <w:p w14:paraId="5C482EE3" w14:textId="621F614F" w:rsidR="00C277EE" w:rsidRPr="00960EC2" w:rsidRDefault="00C277EE" w:rsidP="00413B0A">
      <w:pPr>
        <w:spacing w:after="0" w:line="240" w:lineRule="auto"/>
        <w:jc w:val="center"/>
        <w:rPr>
          <w:rFonts w:asciiTheme="majorHAnsi" w:hAnsiTheme="majorHAnsi" w:cstheme="majorHAnsi"/>
        </w:rPr>
      </w:pPr>
      <w:r w:rsidRPr="00960EC2">
        <w:rPr>
          <w:rFonts w:asciiTheme="majorHAnsi" w:eastAsiaTheme="majorEastAsia" w:hAnsiTheme="majorHAnsi" w:cstheme="majorHAnsi"/>
          <w:b/>
        </w:rPr>
        <w:t>INVITACIÓ</w:t>
      </w:r>
      <w:r w:rsidR="001630B4" w:rsidRPr="00960EC2">
        <w:rPr>
          <w:rFonts w:asciiTheme="majorHAnsi" w:eastAsiaTheme="majorEastAsia" w:hAnsiTheme="majorHAnsi" w:cstheme="majorHAnsi"/>
          <w:b/>
        </w:rPr>
        <w:t>N PÚBLICA 00</w:t>
      </w:r>
      <w:r w:rsidR="00413B0A" w:rsidRPr="00960EC2">
        <w:rPr>
          <w:rFonts w:asciiTheme="majorHAnsi" w:eastAsiaTheme="majorEastAsia" w:hAnsiTheme="majorHAnsi" w:cstheme="majorHAnsi"/>
          <w:b/>
        </w:rPr>
        <w:t>1</w:t>
      </w:r>
      <w:r w:rsidR="001630B4" w:rsidRPr="00960EC2">
        <w:rPr>
          <w:rFonts w:asciiTheme="majorHAnsi" w:eastAsiaTheme="majorEastAsia" w:hAnsiTheme="majorHAnsi" w:cstheme="majorHAnsi"/>
          <w:b/>
        </w:rPr>
        <w:t xml:space="preserve"> DE 202</w:t>
      </w:r>
      <w:r w:rsidR="00413B0A" w:rsidRPr="00960EC2">
        <w:rPr>
          <w:rFonts w:asciiTheme="majorHAnsi" w:eastAsiaTheme="majorEastAsia" w:hAnsiTheme="majorHAnsi" w:cstheme="majorHAnsi"/>
          <w:b/>
        </w:rPr>
        <w:t>1</w:t>
      </w:r>
      <w:r w:rsidR="001630B4" w:rsidRPr="00960EC2">
        <w:rPr>
          <w:rFonts w:asciiTheme="majorHAnsi" w:eastAsiaTheme="majorEastAsia" w:hAnsiTheme="majorHAnsi" w:cstheme="majorHAnsi"/>
          <w:b/>
        </w:rPr>
        <w:t xml:space="preserve"> </w:t>
      </w:r>
    </w:p>
    <w:p w14:paraId="20D53842" w14:textId="776C60A3" w:rsidR="009160FA" w:rsidRPr="00960EC2" w:rsidRDefault="007F3FCD" w:rsidP="00413B0A">
      <w:pPr>
        <w:pStyle w:val="Ttulo1"/>
        <w:spacing w:before="0" w:line="240" w:lineRule="auto"/>
        <w:ind w:left="360" w:hanging="360"/>
        <w:jc w:val="center"/>
        <w:rPr>
          <w:rFonts w:asciiTheme="majorHAnsi" w:hAnsiTheme="majorHAnsi" w:cstheme="majorHAnsi"/>
          <w:sz w:val="22"/>
          <w:szCs w:val="22"/>
        </w:rPr>
      </w:pPr>
      <w:r w:rsidRPr="00960EC2">
        <w:rPr>
          <w:rFonts w:asciiTheme="majorHAnsi" w:hAnsiTheme="majorHAnsi" w:cstheme="majorHAnsi"/>
          <w:sz w:val="22"/>
          <w:szCs w:val="22"/>
        </w:rPr>
        <w:t>C</w:t>
      </w:r>
      <w:r w:rsidR="009160FA" w:rsidRPr="00960EC2">
        <w:rPr>
          <w:rFonts w:asciiTheme="majorHAnsi" w:hAnsiTheme="majorHAnsi" w:cstheme="majorHAnsi"/>
          <w:sz w:val="22"/>
          <w:szCs w:val="22"/>
        </w:rPr>
        <w:t>ONDICIONES TÉCNICAS DEL SERVICIO.</w:t>
      </w:r>
    </w:p>
    <w:p w14:paraId="473D356D" w14:textId="77777777" w:rsidR="00413B0A" w:rsidRPr="00960EC2" w:rsidRDefault="00413B0A" w:rsidP="009160FA">
      <w:pPr>
        <w:pStyle w:val="Prrafodelista"/>
        <w:ind w:left="284" w:right="-32"/>
        <w:jc w:val="both"/>
        <w:rPr>
          <w:rFonts w:asciiTheme="majorHAnsi" w:hAnsiTheme="majorHAnsi" w:cstheme="majorHAnsi"/>
          <w:b/>
          <w:color w:val="000000"/>
          <w:sz w:val="22"/>
          <w:szCs w:val="22"/>
        </w:rPr>
      </w:pPr>
    </w:p>
    <w:p w14:paraId="00A4E28D" w14:textId="77777777" w:rsidR="009160FA" w:rsidRPr="00960EC2" w:rsidRDefault="009160FA" w:rsidP="009160FA">
      <w:pPr>
        <w:pStyle w:val="Prrafodelista"/>
        <w:numPr>
          <w:ilvl w:val="0"/>
          <w:numId w:val="11"/>
        </w:numPr>
        <w:suppressAutoHyphens w:val="0"/>
        <w:autoSpaceDN/>
        <w:ind w:left="284" w:right="-32" w:hanging="284"/>
        <w:contextualSpacing/>
        <w:jc w:val="both"/>
        <w:textAlignment w:val="auto"/>
        <w:rPr>
          <w:rFonts w:asciiTheme="majorHAnsi" w:hAnsiTheme="majorHAnsi" w:cstheme="majorHAnsi"/>
          <w:b/>
          <w:color w:val="000000"/>
          <w:sz w:val="22"/>
          <w:szCs w:val="22"/>
        </w:rPr>
      </w:pPr>
      <w:r w:rsidRPr="00960EC2">
        <w:rPr>
          <w:rFonts w:asciiTheme="majorHAnsi" w:hAnsiTheme="majorHAnsi" w:cstheme="majorHAnsi"/>
          <w:b/>
          <w:color w:val="000000"/>
          <w:sz w:val="22"/>
          <w:szCs w:val="22"/>
        </w:rPr>
        <w:t>CONDICIONES DEL SERVICIO REQUERIDO</w:t>
      </w:r>
    </w:p>
    <w:p w14:paraId="5093F657" w14:textId="77777777" w:rsidR="009160FA" w:rsidRPr="00960EC2" w:rsidRDefault="009160FA" w:rsidP="009160FA">
      <w:pPr>
        <w:pStyle w:val="Prrafodelista"/>
        <w:rPr>
          <w:rFonts w:asciiTheme="majorHAnsi" w:hAnsiTheme="majorHAnsi" w:cstheme="majorHAnsi"/>
          <w:b/>
          <w:color w:val="000000"/>
          <w:sz w:val="22"/>
          <w:szCs w:val="22"/>
        </w:rPr>
      </w:pPr>
    </w:p>
    <w:p w14:paraId="3F90FE50" w14:textId="77777777" w:rsidR="00413B0A" w:rsidRPr="00960EC2" w:rsidRDefault="00413B0A" w:rsidP="009160FA">
      <w:pPr>
        <w:pStyle w:val="Sinespaciado"/>
        <w:tabs>
          <w:tab w:val="left" w:pos="3828"/>
        </w:tabs>
        <w:jc w:val="both"/>
        <w:rPr>
          <w:rFonts w:asciiTheme="majorHAnsi" w:eastAsia="Calibri" w:hAnsiTheme="majorHAnsi" w:cstheme="majorHAnsi"/>
          <w:color w:val="000000"/>
        </w:rPr>
      </w:pPr>
      <w:r w:rsidRPr="00960EC2">
        <w:rPr>
          <w:rFonts w:asciiTheme="majorHAnsi" w:eastAsia="Calibri" w:hAnsiTheme="majorHAnsi" w:cstheme="majorHAnsi"/>
          <w:color w:val="000000"/>
        </w:rPr>
        <w:t>“Prestar los servicios de manejo de biológicos, incluyendo: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Penitenciario y Carcelario (INPEC).”</w:t>
      </w:r>
    </w:p>
    <w:p w14:paraId="72D42474" w14:textId="77777777" w:rsidR="009160FA" w:rsidRPr="00960EC2" w:rsidRDefault="009160FA" w:rsidP="009160FA">
      <w:pPr>
        <w:pStyle w:val="Default"/>
        <w:jc w:val="both"/>
        <w:rPr>
          <w:rFonts w:asciiTheme="majorHAnsi" w:hAnsiTheme="majorHAnsi" w:cstheme="majorHAnsi"/>
          <w:sz w:val="22"/>
          <w:szCs w:val="22"/>
        </w:rPr>
      </w:pPr>
    </w:p>
    <w:p w14:paraId="13CC8DAA" w14:textId="7AC505E4" w:rsidR="00413B0A" w:rsidRPr="00960EC2" w:rsidRDefault="00413B0A" w:rsidP="00413B0A">
      <w:pPr>
        <w:pStyle w:val="Default"/>
        <w:jc w:val="both"/>
        <w:rPr>
          <w:rFonts w:asciiTheme="majorHAnsi" w:hAnsiTheme="majorHAnsi" w:cstheme="majorHAnsi"/>
          <w:sz w:val="22"/>
          <w:szCs w:val="22"/>
        </w:rPr>
      </w:pPr>
      <w:r w:rsidRPr="00960EC2">
        <w:rPr>
          <w:rFonts w:asciiTheme="majorHAnsi" w:hAnsiTheme="majorHAnsi" w:cstheme="majorHAnsi"/>
          <w:sz w:val="22"/>
          <w:szCs w:val="22"/>
        </w:rPr>
        <w:t>-</w:t>
      </w:r>
      <w:r w:rsidRPr="00960EC2">
        <w:rPr>
          <w:rFonts w:asciiTheme="majorHAnsi" w:hAnsiTheme="majorHAnsi" w:cstheme="majorHAnsi"/>
          <w:sz w:val="22"/>
          <w:szCs w:val="22"/>
        </w:rPr>
        <w:tab/>
      </w:r>
      <w:r w:rsidR="00960EC2" w:rsidRPr="00960EC2">
        <w:rPr>
          <w:rFonts w:asciiTheme="majorHAnsi" w:hAnsiTheme="majorHAnsi" w:cstheme="majorHAnsi"/>
          <w:b/>
          <w:sz w:val="22"/>
          <w:szCs w:val="22"/>
        </w:rPr>
        <w:t>ITEM II - ACONDICIONAMIENTO, TRANSPORTE NACIONAL, ALMACENAMIENTO Y DISTRIBUCIÓN DE BIOLÓGICOS A LOS PUNTOS DE APLICACIÓN ESTABLECIDOS</w:t>
      </w:r>
    </w:p>
    <w:p w14:paraId="29637A51" w14:textId="77777777" w:rsidR="00413B0A" w:rsidRPr="00960EC2" w:rsidRDefault="00413B0A" w:rsidP="00413B0A">
      <w:pPr>
        <w:pStyle w:val="Default"/>
        <w:jc w:val="both"/>
        <w:rPr>
          <w:rFonts w:asciiTheme="majorHAnsi" w:hAnsiTheme="majorHAnsi" w:cstheme="majorHAnsi"/>
          <w:sz w:val="22"/>
          <w:szCs w:val="22"/>
        </w:rPr>
      </w:pPr>
    </w:p>
    <w:tbl>
      <w:tblPr>
        <w:tblStyle w:val="Tablaconcuadrcula"/>
        <w:tblW w:w="0" w:type="auto"/>
        <w:tblLook w:val="04A0" w:firstRow="1" w:lastRow="0" w:firstColumn="1" w:lastColumn="0" w:noHBand="0" w:noVBand="1"/>
      </w:tblPr>
      <w:tblGrid>
        <w:gridCol w:w="5640"/>
        <w:gridCol w:w="2320"/>
      </w:tblGrid>
      <w:tr w:rsidR="00413B0A" w:rsidRPr="00960EC2" w14:paraId="1A95CB7B" w14:textId="77777777" w:rsidTr="00960EC2">
        <w:trPr>
          <w:trHeight w:val="594"/>
        </w:trPr>
        <w:tc>
          <w:tcPr>
            <w:tcW w:w="7960" w:type="dxa"/>
            <w:gridSpan w:val="2"/>
            <w:hideMark/>
          </w:tcPr>
          <w:p w14:paraId="58539C08" w14:textId="500681DC" w:rsidR="00413B0A" w:rsidRPr="00960EC2" w:rsidRDefault="00960EC2" w:rsidP="00413B0A">
            <w:pPr>
              <w:pStyle w:val="Default"/>
              <w:rPr>
                <w:rFonts w:asciiTheme="majorHAnsi" w:hAnsiTheme="majorHAnsi" w:cstheme="majorHAnsi"/>
                <w:b/>
                <w:bCs/>
                <w:sz w:val="22"/>
                <w:szCs w:val="22"/>
              </w:rPr>
            </w:pPr>
            <w:r w:rsidRPr="00960EC2">
              <w:rPr>
                <w:rFonts w:asciiTheme="majorHAnsi" w:hAnsiTheme="majorHAnsi" w:cstheme="majorHAnsi"/>
                <w:b/>
                <w:bCs/>
                <w:sz w:val="22"/>
                <w:szCs w:val="22"/>
              </w:rPr>
              <w:t>ITEM II - ACONDICIONAMIENTO, TRANSPORTE NACIONAL, ALMACENAMIENTO Y DISTRIBUCIÓN DE BIOLÓGICOS A LOS PUNTOS DE APLICACIÓN ESTABLECIDOS</w:t>
            </w:r>
          </w:p>
        </w:tc>
      </w:tr>
      <w:tr w:rsidR="00413B0A" w:rsidRPr="00960EC2" w14:paraId="010C0682" w14:textId="77777777" w:rsidTr="00413B0A">
        <w:trPr>
          <w:trHeight w:val="300"/>
        </w:trPr>
        <w:tc>
          <w:tcPr>
            <w:tcW w:w="7960" w:type="dxa"/>
            <w:gridSpan w:val="2"/>
            <w:hideMark/>
          </w:tcPr>
          <w:p w14:paraId="7FABE8B9" w14:textId="59774F32" w:rsidR="00413B0A" w:rsidRPr="00960EC2" w:rsidRDefault="00413B0A" w:rsidP="00960EC2">
            <w:pPr>
              <w:pStyle w:val="Default"/>
              <w:rPr>
                <w:rFonts w:asciiTheme="majorHAnsi" w:hAnsiTheme="majorHAnsi" w:cstheme="majorHAnsi"/>
                <w:b/>
                <w:bCs/>
                <w:sz w:val="22"/>
                <w:szCs w:val="22"/>
              </w:rPr>
            </w:pPr>
            <w:r w:rsidRPr="00960EC2">
              <w:rPr>
                <w:rFonts w:asciiTheme="majorHAnsi" w:hAnsiTheme="majorHAnsi" w:cstheme="majorHAnsi"/>
                <w:b/>
                <w:bCs/>
                <w:sz w:val="22"/>
                <w:szCs w:val="22"/>
              </w:rPr>
              <w:t xml:space="preserve">SERVICIO DE </w:t>
            </w:r>
            <w:r w:rsidR="00960EC2" w:rsidRPr="00960EC2">
              <w:rPr>
                <w:rFonts w:asciiTheme="majorHAnsi" w:hAnsiTheme="majorHAnsi" w:cstheme="majorHAnsi"/>
                <w:b/>
                <w:bCs/>
                <w:sz w:val="22"/>
                <w:szCs w:val="22"/>
              </w:rPr>
              <w:t>OPERACIÓN LOGÍSTICA</w:t>
            </w:r>
          </w:p>
        </w:tc>
      </w:tr>
      <w:tr w:rsidR="00413B0A" w:rsidRPr="00960EC2" w14:paraId="209A0DCC" w14:textId="77777777" w:rsidTr="00413B0A">
        <w:trPr>
          <w:trHeight w:val="300"/>
        </w:trPr>
        <w:tc>
          <w:tcPr>
            <w:tcW w:w="5640" w:type="dxa"/>
            <w:hideMark/>
          </w:tcPr>
          <w:p w14:paraId="45626219"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CONDICIÓN TÉCNICA</w:t>
            </w:r>
          </w:p>
        </w:tc>
        <w:tc>
          <w:tcPr>
            <w:tcW w:w="2320" w:type="dxa"/>
            <w:hideMark/>
          </w:tcPr>
          <w:p w14:paraId="6A5A2DC0"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CUMPLE</w:t>
            </w:r>
          </w:p>
        </w:tc>
      </w:tr>
      <w:tr w:rsidR="00413B0A" w:rsidRPr="00960EC2" w14:paraId="6136B7EE" w14:textId="77777777" w:rsidTr="00960EC2">
        <w:trPr>
          <w:trHeight w:val="615"/>
        </w:trPr>
        <w:tc>
          <w:tcPr>
            <w:tcW w:w="5640" w:type="dxa"/>
            <w:hideMark/>
          </w:tcPr>
          <w:p w14:paraId="58C39928" w14:textId="77777777" w:rsidR="00960EC2"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w:t>
            </w:r>
            <w:r w:rsidRPr="00960EC2">
              <w:rPr>
                <w:rFonts w:asciiTheme="majorHAnsi" w:hAnsiTheme="majorHAnsi" w:cstheme="majorHAnsi"/>
                <w:sz w:val="22"/>
                <w:szCs w:val="22"/>
              </w:rPr>
              <w:tab/>
              <w:t xml:space="preserve">Almacenamiento y conservación: </w:t>
            </w:r>
          </w:p>
          <w:p w14:paraId="62D778C2" w14:textId="77777777" w:rsidR="00960EC2"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 xml:space="preserve">-Se requiere que el proponente diligencie y adjunte con la propuesta la declaración de auto inspección de buenas prácticas de almacenamiento y distribución de medicamentos (biológicos), el cual debe ir con la firma del representante legal. </w:t>
            </w:r>
          </w:p>
          <w:p w14:paraId="7F409386" w14:textId="77777777" w:rsidR="00960EC2" w:rsidRPr="00960EC2" w:rsidRDefault="00960EC2" w:rsidP="00960EC2">
            <w:pPr>
              <w:pStyle w:val="Default"/>
              <w:rPr>
                <w:rFonts w:asciiTheme="majorHAnsi" w:hAnsiTheme="majorHAnsi" w:cstheme="majorHAnsi"/>
                <w:sz w:val="22"/>
                <w:szCs w:val="22"/>
              </w:rPr>
            </w:pPr>
          </w:p>
          <w:p w14:paraId="511005ED" w14:textId="6B686ED8" w:rsidR="00413B0A"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 xml:space="preserve">-El proponente debe adjuntar documento donde certifique que cuenta con un centro de almacenamiento y distribución para garantizar la distribución de manera ágil y oportuna en los establecimientos de reclusión del orden nacional; en este caso debe acreditar mediante documento con vigencia no mayor a treinta (30) días calendario anteriores a la presentación de esta propuesta la propiedad (Certificado de tradición y libertad) o tenencia (Contrato de arrendamiento o comodato) del bien inmueble ofertado como centro de almacenamiento en la ciudad de Bogotá D.C. o en su área metropolitana, que está compuesta por Bogotá y los municipios de </w:t>
            </w:r>
            <w:proofErr w:type="spellStart"/>
            <w:r w:rsidRPr="00960EC2">
              <w:rPr>
                <w:rFonts w:asciiTheme="majorHAnsi" w:hAnsiTheme="majorHAnsi" w:cstheme="majorHAnsi"/>
                <w:sz w:val="22"/>
                <w:szCs w:val="22"/>
              </w:rPr>
              <w:t>Bojacá</w:t>
            </w:r>
            <w:proofErr w:type="spellEnd"/>
            <w:r w:rsidRPr="00960EC2">
              <w:rPr>
                <w:rFonts w:asciiTheme="majorHAnsi" w:hAnsiTheme="majorHAnsi" w:cstheme="majorHAnsi"/>
                <w:sz w:val="22"/>
                <w:szCs w:val="22"/>
              </w:rPr>
              <w:t xml:space="preserve">, </w:t>
            </w:r>
            <w:proofErr w:type="spellStart"/>
            <w:r w:rsidRPr="00960EC2">
              <w:rPr>
                <w:rFonts w:asciiTheme="majorHAnsi" w:hAnsiTheme="majorHAnsi" w:cstheme="majorHAnsi"/>
                <w:sz w:val="22"/>
                <w:szCs w:val="22"/>
              </w:rPr>
              <w:t>Cajicá</w:t>
            </w:r>
            <w:proofErr w:type="spellEnd"/>
            <w:r w:rsidRPr="00960EC2">
              <w:rPr>
                <w:rFonts w:asciiTheme="majorHAnsi" w:hAnsiTheme="majorHAnsi" w:cstheme="majorHAnsi"/>
                <w:sz w:val="22"/>
                <w:szCs w:val="22"/>
              </w:rPr>
              <w:t xml:space="preserve">, Chía, </w:t>
            </w:r>
            <w:proofErr w:type="spellStart"/>
            <w:r w:rsidRPr="00960EC2">
              <w:rPr>
                <w:rFonts w:asciiTheme="majorHAnsi" w:hAnsiTheme="majorHAnsi" w:cstheme="majorHAnsi"/>
                <w:sz w:val="22"/>
                <w:szCs w:val="22"/>
              </w:rPr>
              <w:t>Cogua</w:t>
            </w:r>
            <w:proofErr w:type="spellEnd"/>
            <w:r w:rsidRPr="00960EC2">
              <w:rPr>
                <w:rFonts w:asciiTheme="majorHAnsi" w:hAnsiTheme="majorHAnsi" w:cstheme="majorHAnsi"/>
                <w:sz w:val="22"/>
                <w:szCs w:val="22"/>
              </w:rPr>
              <w:t xml:space="preserve">, Cota, El Rosal, Facatativá, Funza, </w:t>
            </w:r>
            <w:proofErr w:type="spellStart"/>
            <w:r w:rsidRPr="00960EC2">
              <w:rPr>
                <w:rFonts w:asciiTheme="majorHAnsi" w:hAnsiTheme="majorHAnsi" w:cstheme="majorHAnsi"/>
                <w:sz w:val="22"/>
                <w:szCs w:val="22"/>
              </w:rPr>
              <w:t>Gachancipá</w:t>
            </w:r>
            <w:proofErr w:type="spellEnd"/>
            <w:r w:rsidRPr="00960EC2">
              <w:rPr>
                <w:rFonts w:asciiTheme="majorHAnsi" w:hAnsiTheme="majorHAnsi" w:cstheme="majorHAnsi"/>
                <w:sz w:val="22"/>
                <w:szCs w:val="22"/>
              </w:rPr>
              <w:t xml:space="preserve">, La Calera, Madrid, Mosquera, </w:t>
            </w:r>
            <w:proofErr w:type="spellStart"/>
            <w:r w:rsidRPr="00960EC2">
              <w:rPr>
                <w:rFonts w:asciiTheme="majorHAnsi" w:hAnsiTheme="majorHAnsi" w:cstheme="majorHAnsi"/>
                <w:sz w:val="22"/>
                <w:szCs w:val="22"/>
              </w:rPr>
              <w:t>Nemocón</w:t>
            </w:r>
            <w:proofErr w:type="spellEnd"/>
            <w:r w:rsidRPr="00960EC2">
              <w:rPr>
                <w:rFonts w:asciiTheme="majorHAnsi" w:hAnsiTheme="majorHAnsi" w:cstheme="majorHAnsi"/>
                <w:sz w:val="22"/>
                <w:szCs w:val="22"/>
              </w:rPr>
              <w:t xml:space="preserve">, Soacha, </w:t>
            </w:r>
            <w:proofErr w:type="spellStart"/>
            <w:r w:rsidRPr="00960EC2">
              <w:rPr>
                <w:rFonts w:asciiTheme="majorHAnsi" w:hAnsiTheme="majorHAnsi" w:cstheme="majorHAnsi"/>
                <w:sz w:val="22"/>
                <w:szCs w:val="22"/>
              </w:rPr>
              <w:t>Sibaté</w:t>
            </w:r>
            <w:proofErr w:type="spellEnd"/>
            <w:r w:rsidRPr="00960EC2">
              <w:rPr>
                <w:rFonts w:asciiTheme="majorHAnsi" w:hAnsiTheme="majorHAnsi" w:cstheme="majorHAnsi"/>
                <w:sz w:val="22"/>
                <w:szCs w:val="22"/>
              </w:rPr>
              <w:t xml:space="preserve">, Sopó, Subachoque, </w:t>
            </w:r>
            <w:proofErr w:type="spellStart"/>
            <w:r w:rsidRPr="00960EC2">
              <w:rPr>
                <w:rFonts w:asciiTheme="majorHAnsi" w:hAnsiTheme="majorHAnsi" w:cstheme="majorHAnsi"/>
                <w:sz w:val="22"/>
                <w:szCs w:val="22"/>
              </w:rPr>
              <w:t>Tabio</w:t>
            </w:r>
            <w:proofErr w:type="spellEnd"/>
            <w:r w:rsidRPr="00960EC2">
              <w:rPr>
                <w:rFonts w:asciiTheme="majorHAnsi" w:hAnsiTheme="majorHAnsi" w:cstheme="majorHAnsi"/>
                <w:sz w:val="22"/>
                <w:szCs w:val="22"/>
              </w:rPr>
              <w:t xml:space="preserve">, </w:t>
            </w:r>
            <w:proofErr w:type="spellStart"/>
            <w:r w:rsidRPr="00960EC2">
              <w:rPr>
                <w:rFonts w:asciiTheme="majorHAnsi" w:hAnsiTheme="majorHAnsi" w:cstheme="majorHAnsi"/>
                <w:sz w:val="22"/>
                <w:szCs w:val="22"/>
              </w:rPr>
              <w:t>Tenjo</w:t>
            </w:r>
            <w:proofErr w:type="spellEnd"/>
            <w:r w:rsidRPr="00960EC2">
              <w:rPr>
                <w:rFonts w:asciiTheme="majorHAnsi" w:hAnsiTheme="majorHAnsi" w:cstheme="majorHAnsi"/>
                <w:sz w:val="22"/>
                <w:szCs w:val="22"/>
              </w:rPr>
              <w:t xml:space="preserve">, </w:t>
            </w:r>
            <w:proofErr w:type="spellStart"/>
            <w:r w:rsidRPr="00960EC2">
              <w:rPr>
                <w:rFonts w:asciiTheme="majorHAnsi" w:hAnsiTheme="majorHAnsi" w:cstheme="majorHAnsi"/>
                <w:sz w:val="22"/>
                <w:szCs w:val="22"/>
              </w:rPr>
              <w:t>Tocancipá</w:t>
            </w:r>
            <w:proofErr w:type="spellEnd"/>
            <w:r w:rsidRPr="00960EC2">
              <w:rPr>
                <w:rFonts w:asciiTheme="majorHAnsi" w:hAnsiTheme="majorHAnsi" w:cstheme="majorHAnsi"/>
                <w:sz w:val="22"/>
                <w:szCs w:val="22"/>
              </w:rPr>
              <w:t xml:space="preserve">, </w:t>
            </w:r>
            <w:proofErr w:type="spellStart"/>
            <w:r w:rsidRPr="00960EC2">
              <w:rPr>
                <w:rFonts w:asciiTheme="majorHAnsi" w:hAnsiTheme="majorHAnsi" w:cstheme="majorHAnsi"/>
                <w:sz w:val="22"/>
                <w:szCs w:val="22"/>
              </w:rPr>
              <w:t>Zipacón</w:t>
            </w:r>
            <w:proofErr w:type="spellEnd"/>
            <w:r w:rsidRPr="00960EC2">
              <w:rPr>
                <w:rFonts w:asciiTheme="majorHAnsi" w:hAnsiTheme="majorHAnsi" w:cstheme="majorHAnsi"/>
                <w:sz w:val="22"/>
                <w:szCs w:val="22"/>
              </w:rPr>
              <w:t xml:space="preserve"> y Zipaquirá.</w:t>
            </w:r>
          </w:p>
        </w:tc>
        <w:tc>
          <w:tcPr>
            <w:tcW w:w="2320" w:type="dxa"/>
            <w:hideMark/>
          </w:tcPr>
          <w:p w14:paraId="6EC0457D"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6D80D497" w14:textId="77777777" w:rsidTr="00413B0A">
        <w:trPr>
          <w:trHeight w:val="1118"/>
        </w:trPr>
        <w:tc>
          <w:tcPr>
            <w:tcW w:w="5640" w:type="dxa"/>
            <w:hideMark/>
          </w:tcPr>
          <w:p w14:paraId="563C2B0A" w14:textId="77777777" w:rsidR="00960EC2"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lastRenderedPageBreak/>
              <w:t>•</w:t>
            </w:r>
            <w:r w:rsidRPr="00960EC2">
              <w:rPr>
                <w:rFonts w:asciiTheme="majorHAnsi" w:hAnsiTheme="majorHAnsi" w:cstheme="majorHAnsi"/>
                <w:sz w:val="22"/>
                <w:szCs w:val="22"/>
              </w:rPr>
              <w:tab/>
              <w:t xml:space="preserve">Transporte de medicamentos: </w:t>
            </w:r>
          </w:p>
          <w:p w14:paraId="5D4C1252" w14:textId="77777777" w:rsidR="00960EC2"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-El proponente deberá presentar en su propuesta técnica un documento donde certifique la cadena de frio que soporta los biológicos, suscrita por el representante legal.</w:t>
            </w:r>
          </w:p>
          <w:p w14:paraId="4A67BF03" w14:textId="77777777" w:rsidR="00960EC2" w:rsidRPr="00960EC2" w:rsidRDefault="00960EC2" w:rsidP="00960EC2">
            <w:pPr>
              <w:pStyle w:val="Default"/>
              <w:rPr>
                <w:rFonts w:asciiTheme="majorHAnsi" w:hAnsiTheme="majorHAnsi" w:cstheme="majorHAnsi"/>
                <w:sz w:val="22"/>
                <w:szCs w:val="22"/>
              </w:rPr>
            </w:pPr>
          </w:p>
          <w:p w14:paraId="0B3B187B" w14:textId="0917AD29" w:rsidR="00413B0A"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-El proponente deberá acreditar la habilitación y autorización para la prestación del Servicio Público de Transporte Terrestre Automotor de Carga, enmarcado en el Decreto 173 de 2001 y aquellos que lo modifiquen y/o complementen.</w:t>
            </w:r>
          </w:p>
        </w:tc>
        <w:tc>
          <w:tcPr>
            <w:tcW w:w="2320" w:type="dxa"/>
            <w:hideMark/>
          </w:tcPr>
          <w:p w14:paraId="7526D330"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1E4DF59F" w14:textId="77777777" w:rsidTr="00413B0A">
        <w:trPr>
          <w:trHeight w:val="851"/>
        </w:trPr>
        <w:tc>
          <w:tcPr>
            <w:tcW w:w="5640" w:type="dxa"/>
            <w:hideMark/>
          </w:tcPr>
          <w:p w14:paraId="48B32C6B" w14:textId="77777777" w:rsidR="00960EC2"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w:t>
            </w:r>
            <w:r w:rsidRPr="00960EC2">
              <w:rPr>
                <w:rFonts w:asciiTheme="majorHAnsi" w:hAnsiTheme="majorHAnsi" w:cstheme="majorHAnsi"/>
                <w:sz w:val="22"/>
                <w:szCs w:val="22"/>
              </w:rPr>
              <w:tab/>
              <w:t xml:space="preserve">Registro de operaciones de transporte multimodal: </w:t>
            </w:r>
          </w:p>
          <w:p w14:paraId="1CBBD69F" w14:textId="77777777" w:rsidR="00960EC2"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 xml:space="preserve">-El proponente deberá presentar registro vigente que acredite que está debidamente inscrito en el Registro de Operaciones de transporte multimodal ante el Ministerio de Transporte, enmarcado dentro del Decreto 149 de 1999 y Decreto 2685 de 1999. </w:t>
            </w:r>
          </w:p>
          <w:p w14:paraId="6D254BC1" w14:textId="77777777" w:rsidR="00960EC2" w:rsidRPr="00960EC2" w:rsidRDefault="00960EC2" w:rsidP="00960EC2">
            <w:pPr>
              <w:pStyle w:val="Default"/>
              <w:rPr>
                <w:rFonts w:asciiTheme="majorHAnsi" w:hAnsiTheme="majorHAnsi" w:cstheme="majorHAnsi"/>
                <w:sz w:val="22"/>
                <w:szCs w:val="22"/>
              </w:rPr>
            </w:pPr>
          </w:p>
          <w:p w14:paraId="0268A450" w14:textId="4AD81B95" w:rsidR="00413B0A"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-El proponente debe adjuntar copia del acta de visita practicada por la Secretaría de Salud o Ente Territorial certificando el cumplimiento de las condiciones técnicas locativas y sanitarias (con concepto favorable) de los establecimientos en el(os) que almacena y/o en el(os) que proyecta almacenar los biológicos, dicha acta debe haber sido expedida durante los últimos doce (12) meses anteriores al cierre del presente proceso.</w:t>
            </w:r>
          </w:p>
        </w:tc>
        <w:tc>
          <w:tcPr>
            <w:tcW w:w="2320" w:type="dxa"/>
            <w:hideMark/>
          </w:tcPr>
          <w:p w14:paraId="0374437E"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53F08D60" w14:textId="77777777" w:rsidTr="00413B0A">
        <w:trPr>
          <w:trHeight w:val="552"/>
        </w:trPr>
        <w:tc>
          <w:tcPr>
            <w:tcW w:w="5640" w:type="dxa"/>
            <w:hideMark/>
          </w:tcPr>
          <w:p w14:paraId="2FD48BC0" w14:textId="7B229B94" w:rsidR="00413B0A" w:rsidRPr="00960EC2" w:rsidRDefault="00960EC2" w:rsidP="00960EC2">
            <w:pPr>
              <w:pStyle w:val="Default"/>
              <w:rPr>
                <w:rFonts w:asciiTheme="majorHAnsi" w:hAnsiTheme="majorHAnsi" w:cstheme="majorHAnsi"/>
                <w:sz w:val="22"/>
                <w:szCs w:val="22"/>
              </w:rPr>
            </w:pPr>
            <w:r w:rsidRPr="00960EC2">
              <w:rPr>
                <w:rFonts w:asciiTheme="majorHAnsi" w:hAnsiTheme="majorHAnsi" w:cstheme="majorHAnsi"/>
                <w:sz w:val="22"/>
                <w:szCs w:val="22"/>
              </w:rPr>
              <w:t>Capacidad instalada suficiente de neveras, congeladores, equipos de medición de temperatura y humedad, neveras de transporte, termos y paquetes fríos de agua, que garanticen el total y buen almacenamiento de biológicos sin que se ocasione daños o deterioro de los productos, incluyendo su empaque original.</w:t>
            </w:r>
          </w:p>
        </w:tc>
        <w:tc>
          <w:tcPr>
            <w:tcW w:w="2320" w:type="dxa"/>
            <w:hideMark/>
          </w:tcPr>
          <w:p w14:paraId="08021BC8"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522D0CB4" w14:textId="77777777" w:rsidTr="00413B0A">
        <w:trPr>
          <w:trHeight w:val="829"/>
        </w:trPr>
        <w:tc>
          <w:tcPr>
            <w:tcW w:w="5640" w:type="dxa"/>
            <w:hideMark/>
          </w:tcPr>
          <w:p w14:paraId="4E6C8988" w14:textId="6380331F"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Para el almacenamiento de biológicos no se requiere espacio exclusivo, sin embargo debe estar delimitado y demarcado en estantería con su respectivo número, posición, nombre del producto, lote, fecha de vencimiento, inventario y empresa a la que pertenece el pro-ducto, adicionalmente  dicho almacenamiento se realizará de acuerdo al Manual de Bue-</w:t>
            </w:r>
            <w:proofErr w:type="spellStart"/>
            <w:r w:rsidRPr="00960EC2">
              <w:rPr>
                <w:rFonts w:asciiTheme="majorHAnsi" w:hAnsiTheme="majorHAnsi" w:cstheme="majorHAnsi"/>
                <w:sz w:val="22"/>
                <w:szCs w:val="22"/>
              </w:rPr>
              <w:t>nas</w:t>
            </w:r>
            <w:proofErr w:type="spellEnd"/>
            <w:r w:rsidRPr="00960EC2">
              <w:rPr>
                <w:rFonts w:asciiTheme="majorHAnsi" w:hAnsiTheme="majorHAnsi" w:cstheme="majorHAnsi"/>
                <w:sz w:val="22"/>
                <w:szCs w:val="22"/>
              </w:rPr>
              <w:t xml:space="preserve"> Prácticas de Almacenamiento emitido por el Ministerio de Salud y Protección Social en Febrero de 2015 y el apilamiento máximo permitido será de 2.50 m de altura.</w:t>
            </w:r>
            <w:r w:rsidR="00413B0A" w:rsidRPr="00960EC2">
              <w:rPr>
                <w:rFonts w:asciiTheme="majorHAnsi" w:hAnsiTheme="majorHAnsi" w:cstheme="majorHAnsi"/>
                <w:sz w:val="22"/>
                <w:szCs w:val="22"/>
              </w:rPr>
              <w:t>.</w:t>
            </w:r>
          </w:p>
        </w:tc>
        <w:tc>
          <w:tcPr>
            <w:tcW w:w="2320" w:type="dxa"/>
            <w:hideMark/>
          </w:tcPr>
          <w:p w14:paraId="34E50CE9"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61F1087D" w14:textId="77777777" w:rsidTr="00413B0A">
        <w:trPr>
          <w:trHeight w:val="615"/>
        </w:trPr>
        <w:tc>
          <w:tcPr>
            <w:tcW w:w="5640" w:type="dxa"/>
            <w:hideMark/>
          </w:tcPr>
          <w:p w14:paraId="254D28DD" w14:textId="006040E4"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 xml:space="preserve">Área delimitada para alistamiento, la cual debe garantizar la termo estabilidad de los biológicos, dicha área podrá encontrarse dentro del cuarto (s) frio(s) o hacer parte de una </w:t>
            </w:r>
            <w:proofErr w:type="spellStart"/>
            <w:r w:rsidRPr="00960EC2">
              <w:rPr>
                <w:rFonts w:asciiTheme="majorHAnsi" w:hAnsiTheme="majorHAnsi" w:cstheme="majorHAnsi"/>
                <w:sz w:val="22"/>
                <w:szCs w:val="22"/>
              </w:rPr>
              <w:t>precámara</w:t>
            </w:r>
            <w:proofErr w:type="spellEnd"/>
            <w:r w:rsidRPr="00960EC2">
              <w:rPr>
                <w:rFonts w:asciiTheme="majorHAnsi" w:hAnsiTheme="majorHAnsi" w:cstheme="majorHAnsi"/>
                <w:sz w:val="22"/>
                <w:szCs w:val="22"/>
              </w:rPr>
              <w:t xml:space="preserve">, que mantenga la temperatura de ¬2 a 8° centígrados, la que contará con espacios para equipos, embalaje, lavado, </w:t>
            </w:r>
            <w:proofErr w:type="spellStart"/>
            <w:r w:rsidRPr="00960EC2">
              <w:rPr>
                <w:rFonts w:asciiTheme="majorHAnsi" w:hAnsiTheme="majorHAnsi" w:cstheme="majorHAnsi"/>
                <w:sz w:val="22"/>
                <w:szCs w:val="22"/>
              </w:rPr>
              <w:t>atemperamiento</w:t>
            </w:r>
            <w:proofErr w:type="spellEnd"/>
            <w:r w:rsidRPr="00960EC2">
              <w:rPr>
                <w:rFonts w:asciiTheme="majorHAnsi" w:hAnsiTheme="majorHAnsi" w:cstheme="majorHAnsi"/>
                <w:sz w:val="22"/>
                <w:szCs w:val="22"/>
              </w:rPr>
              <w:t xml:space="preserve"> de paquetes refrigerados </w:t>
            </w:r>
            <w:r w:rsidRPr="00960EC2">
              <w:rPr>
                <w:rFonts w:asciiTheme="majorHAnsi" w:hAnsiTheme="majorHAnsi" w:cstheme="majorHAnsi"/>
                <w:sz w:val="22"/>
                <w:szCs w:val="22"/>
              </w:rPr>
              <w:lastRenderedPageBreak/>
              <w:t>y bodega, ambiente físico delimitado y de circulación restringida.</w:t>
            </w:r>
          </w:p>
        </w:tc>
        <w:tc>
          <w:tcPr>
            <w:tcW w:w="2320" w:type="dxa"/>
            <w:hideMark/>
          </w:tcPr>
          <w:p w14:paraId="1C25671A"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lastRenderedPageBreak/>
              <w:t> </w:t>
            </w:r>
          </w:p>
        </w:tc>
      </w:tr>
      <w:tr w:rsidR="00413B0A" w:rsidRPr="00960EC2" w14:paraId="1FA5CBBB" w14:textId="77777777" w:rsidTr="00413B0A">
        <w:trPr>
          <w:trHeight w:val="615"/>
        </w:trPr>
        <w:tc>
          <w:tcPr>
            <w:tcW w:w="5640" w:type="dxa"/>
            <w:hideMark/>
          </w:tcPr>
          <w:p w14:paraId="76DF9E84" w14:textId="6D8FE639"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lastRenderedPageBreak/>
              <w:t>El o los cuartos fríos desde el inicio del almacenamiento deberán contar con monitoreo continuo y permanente las veinticuatro (24) horas, hasta la finalización de la entrega.</w:t>
            </w:r>
          </w:p>
        </w:tc>
        <w:tc>
          <w:tcPr>
            <w:tcW w:w="2320" w:type="dxa"/>
            <w:hideMark/>
          </w:tcPr>
          <w:p w14:paraId="7BD1187F"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71F8FE02" w14:textId="77777777" w:rsidTr="00413B0A">
        <w:trPr>
          <w:trHeight w:val="473"/>
        </w:trPr>
        <w:tc>
          <w:tcPr>
            <w:tcW w:w="5640" w:type="dxa"/>
            <w:hideMark/>
          </w:tcPr>
          <w:p w14:paraId="368587B2" w14:textId="00E8A383"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 xml:space="preserve">Garantizar un sistema de seguridad, alarma y control de temperaturas con monitoreo en tiempo real de las mismas, con termómetros digitales electrónicos de máxima y mínima; sensores ubicados en diferentes posiciones dentro de los cuartos fríos y conectados a una alarma que alerte en forma oportuna si la temperatura está fuera de los rangos </w:t>
            </w:r>
            <w:proofErr w:type="spellStart"/>
            <w:r w:rsidRPr="00960EC2">
              <w:rPr>
                <w:rFonts w:asciiTheme="majorHAnsi" w:hAnsiTheme="majorHAnsi" w:cstheme="majorHAnsi"/>
                <w:sz w:val="22"/>
                <w:szCs w:val="22"/>
              </w:rPr>
              <w:t>estableci</w:t>
            </w:r>
            <w:proofErr w:type="spellEnd"/>
            <w:r w:rsidRPr="00960EC2">
              <w:rPr>
                <w:rFonts w:asciiTheme="majorHAnsi" w:hAnsiTheme="majorHAnsi" w:cstheme="majorHAnsi"/>
                <w:sz w:val="22"/>
                <w:szCs w:val="22"/>
              </w:rPr>
              <w:t>-dos y planta eléctrica de arranque automático que soporte eventuales cortes de fluido eléctrico. Esta continúa monitorización generara reportes obligatorios al Consorcio Fondo de Atención en Salud para la PPL cuando sea requerido. El sistema de monitoreo debe dar cumplimiento a los estándares de calidad y confiabilidad.</w:t>
            </w:r>
          </w:p>
        </w:tc>
        <w:tc>
          <w:tcPr>
            <w:tcW w:w="2320" w:type="dxa"/>
            <w:hideMark/>
          </w:tcPr>
          <w:p w14:paraId="3BB38B6F"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0D34DB34" w14:textId="77777777" w:rsidTr="00960EC2">
        <w:trPr>
          <w:trHeight w:val="1300"/>
        </w:trPr>
        <w:tc>
          <w:tcPr>
            <w:tcW w:w="5640" w:type="dxa"/>
            <w:hideMark/>
          </w:tcPr>
          <w:p w14:paraId="78358703" w14:textId="0F693A96"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Garantizar personal idóneo (mínimo dos) en el manejo de biológicos y red de frio certificados, y que demuestren vinculación laboral con la compañía o empresa, velando para el correcto almacenamiento y manipulación de los productos (biológicos y diluyentes).</w:t>
            </w:r>
          </w:p>
        </w:tc>
        <w:tc>
          <w:tcPr>
            <w:tcW w:w="2320" w:type="dxa"/>
            <w:hideMark/>
          </w:tcPr>
          <w:p w14:paraId="38897AB2"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5668856B" w14:textId="77777777" w:rsidTr="00413B0A">
        <w:trPr>
          <w:trHeight w:val="1118"/>
        </w:trPr>
        <w:tc>
          <w:tcPr>
            <w:tcW w:w="5640" w:type="dxa"/>
            <w:hideMark/>
          </w:tcPr>
          <w:p w14:paraId="3FCA19E1" w14:textId="01660A93"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Si durante la ejecución del contrato, el oferente realizara modificaciones o cambios en la infraestructura de los cuartos fríos, estará sujeto a verificación por parte del comité técnico evaluador que disponga el Consorcio Fondo de Atención en Salud para la PPL.</w:t>
            </w:r>
          </w:p>
        </w:tc>
        <w:tc>
          <w:tcPr>
            <w:tcW w:w="2320" w:type="dxa"/>
            <w:hideMark/>
          </w:tcPr>
          <w:p w14:paraId="474FAB39"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7BD50267" w14:textId="77777777" w:rsidTr="00960EC2">
        <w:trPr>
          <w:trHeight w:val="304"/>
        </w:trPr>
        <w:tc>
          <w:tcPr>
            <w:tcW w:w="5640" w:type="dxa"/>
            <w:hideMark/>
          </w:tcPr>
          <w:p w14:paraId="02D3404D" w14:textId="6567E1C4"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Contar con un plan de contingencia para cadena de frío.</w:t>
            </w:r>
          </w:p>
        </w:tc>
        <w:tc>
          <w:tcPr>
            <w:tcW w:w="2320" w:type="dxa"/>
            <w:hideMark/>
          </w:tcPr>
          <w:p w14:paraId="7D56890F"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r w:rsidR="00413B0A" w:rsidRPr="00960EC2" w14:paraId="32204116" w14:textId="77777777" w:rsidTr="00413B0A">
        <w:trPr>
          <w:trHeight w:val="1839"/>
        </w:trPr>
        <w:tc>
          <w:tcPr>
            <w:tcW w:w="5640" w:type="dxa"/>
            <w:hideMark/>
          </w:tcPr>
          <w:p w14:paraId="35CA2739" w14:textId="6A82649B" w:rsidR="00413B0A" w:rsidRPr="00960EC2" w:rsidRDefault="00960EC2" w:rsidP="00413B0A">
            <w:pPr>
              <w:pStyle w:val="Default"/>
              <w:rPr>
                <w:rFonts w:asciiTheme="majorHAnsi" w:hAnsiTheme="majorHAnsi" w:cstheme="majorHAnsi"/>
                <w:sz w:val="22"/>
                <w:szCs w:val="22"/>
              </w:rPr>
            </w:pPr>
            <w:r w:rsidRPr="00960EC2">
              <w:rPr>
                <w:rFonts w:asciiTheme="majorHAnsi" w:hAnsiTheme="majorHAnsi" w:cstheme="majorHAnsi"/>
                <w:sz w:val="22"/>
                <w:szCs w:val="22"/>
              </w:rPr>
              <w:t>El Oferente deberá almacenar los biológicos, diluyentes, garantizando el  cumplimiento de los estándares de calidad y normatividad vigentes definidos por el Ministerio de Salud y la Protección Social; Ley 9 de 1979 – Título IV “en lo referente a las condiciones sanitarias que deben cumplir los establecimientos hospitalarios y similares”; Resolución 2400 de 1979 “Por la cual se establecen algunas disposiciones sobre vivienda, higiene y seguridad en los establecimientos de trabajo”; Manual Técnico Administrativo del Programa Amplia-do de Inmunizaciones - PAI– “11. Cadena de frío” del Ministerio de Salud y de Protección Social – 2014-2015.</w:t>
            </w:r>
          </w:p>
        </w:tc>
        <w:tc>
          <w:tcPr>
            <w:tcW w:w="2320" w:type="dxa"/>
            <w:hideMark/>
          </w:tcPr>
          <w:p w14:paraId="274F8EA6" w14:textId="77777777" w:rsidR="00413B0A" w:rsidRPr="00960EC2" w:rsidRDefault="00413B0A" w:rsidP="00413B0A">
            <w:pPr>
              <w:pStyle w:val="Default"/>
              <w:rPr>
                <w:rFonts w:asciiTheme="majorHAnsi" w:hAnsiTheme="majorHAnsi" w:cstheme="majorHAnsi"/>
                <w:sz w:val="22"/>
                <w:szCs w:val="22"/>
              </w:rPr>
            </w:pPr>
            <w:r w:rsidRPr="00960EC2">
              <w:rPr>
                <w:rFonts w:asciiTheme="majorHAnsi" w:hAnsiTheme="majorHAnsi" w:cstheme="majorHAnsi"/>
                <w:sz w:val="22"/>
                <w:szCs w:val="22"/>
              </w:rPr>
              <w:t> </w:t>
            </w:r>
          </w:p>
        </w:tc>
      </w:tr>
    </w:tbl>
    <w:p w14:paraId="5B6CCF56" w14:textId="77777777" w:rsidR="00413B0A" w:rsidRPr="00960EC2" w:rsidRDefault="00413B0A" w:rsidP="009160FA">
      <w:pPr>
        <w:pStyle w:val="Default"/>
        <w:jc w:val="both"/>
        <w:rPr>
          <w:rFonts w:asciiTheme="majorHAnsi" w:hAnsiTheme="majorHAnsi" w:cstheme="majorHAnsi"/>
          <w:sz w:val="22"/>
          <w:szCs w:val="22"/>
        </w:rPr>
      </w:pPr>
    </w:p>
    <w:p w14:paraId="4F876FAC" w14:textId="77777777"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Atentamente,</w:t>
      </w:r>
    </w:p>
    <w:p w14:paraId="19D43D0F" w14:textId="510D0EF2"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_______________________</w:t>
      </w:r>
    </w:p>
    <w:p w14:paraId="7E37152E" w14:textId="77777777"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Nombre Representante Legal</w:t>
      </w:r>
    </w:p>
    <w:p w14:paraId="7D588EAE" w14:textId="0366FB31" w:rsidR="00D331EF" w:rsidRPr="005A1973" w:rsidRDefault="009160FA" w:rsidP="00960EC2">
      <w:pPr>
        <w:pStyle w:val="Default"/>
        <w:jc w:val="both"/>
        <w:rPr>
          <w:rFonts w:asciiTheme="minorHAnsi" w:eastAsiaTheme="majorEastAsia" w:hAnsiTheme="minorHAnsi" w:cstheme="minorHAnsi"/>
          <w:b/>
        </w:rPr>
      </w:pPr>
      <w:r w:rsidRPr="00960EC2">
        <w:rPr>
          <w:rFonts w:asciiTheme="majorHAnsi" w:hAnsiTheme="majorHAnsi" w:cstheme="majorHAnsi"/>
          <w:sz w:val="22"/>
          <w:szCs w:val="22"/>
        </w:rPr>
        <w:t>Firma C.C.</w:t>
      </w:r>
      <w:bookmarkEnd w:id="1"/>
      <w:bookmarkEnd w:id="2"/>
      <w:bookmarkEnd w:id="3"/>
    </w:p>
    <w:sectPr w:rsidR="00D331EF" w:rsidRPr="005A1973" w:rsidSect="00F62C21">
      <w:headerReference w:type="default" r:id="rId10"/>
      <w:footerReference w:type="default" r:id="rId11"/>
      <w:pgSz w:w="12240" w:h="15840"/>
      <w:pgMar w:top="1417" w:right="1701" w:bottom="1417"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9C5AF" w14:textId="77777777" w:rsidR="00DE4BE5" w:rsidRDefault="00DE4BE5" w:rsidP="007C0397">
      <w:pPr>
        <w:spacing w:after="0" w:line="240" w:lineRule="auto"/>
      </w:pPr>
      <w:r>
        <w:separator/>
      </w:r>
    </w:p>
  </w:endnote>
  <w:endnote w:type="continuationSeparator" w:id="0">
    <w:p w14:paraId="1EF891C1" w14:textId="77777777" w:rsidR="00DE4BE5" w:rsidRDefault="00DE4BE5"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4AF5" w14:textId="1CE4A889" w:rsidR="007C0397" w:rsidRDefault="00413B0A">
    <w:pPr>
      <w:pStyle w:val="Piedepgina"/>
    </w:pPr>
    <w:r>
      <w:rPr>
        <w:noProof/>
        <w:lang w:eastAsia="es-CO"/>
      </w:rPr>
      <w:drawing>
        <wp:inline distT="0" distB="0" distL="0" distR="0" wp14:anchorId="492A9F43" wp14:editId="3DF934AA">
          <wp:extent cx="6254496" cy="1060389"/>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216" cy="108170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DBA56" w14:textId="77777777" w:rsidR="00DE4BE5" w:rsidRDefault="00DE4BE5" w:rsidP="007C0397">
      <w:pPr>
        <w:spacing w:after="0" w:line="240" w:lineRule="auto"/>
      </w:pPr>
      <w:r>
        <w:separator/>
      </w:r>
    </w:p>
  </w:footnote>
  <w:footnote w:type="continuationSeparator" w:id="0">
    <w:p w14:paraId="659C703F" w14:textId="77777777" w:rsidR="00DE4BE5" w:rsidRDefault="00DE4BE5" w:rsidP="007C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AEF5" w14:textId="3E082848" w:rsidR="002D432C" w:rsidRDefault="00413B0A">
    <w:pPr>
      <w:pStyle w:val="Encabezado"/>
    </w:pPr>
    <w:r>
      <w:rPr>
        <w:noProof/>
        <w:lang w:eastAsia="es-CO"/>
      </w:rPr>
      <w:drawing>
        <wp:anchor distT="0" distB="0" distL="114300" distR="114300" simplePos="0" relativeHeight="251659264" behindDoc="1" locked="0" layoutInCell="1" allowOverlap="1" wp14:anchorId="59FE1E35" wp14:editId="14D11E3B">
          <wp:simplePos x="0" y="0"/>
          <wp:positionH relativeFrom="page">
            <wp:align>left</wp:align>
          </wp:positionH>
          <wp:positionV relativeFrom="paragraph">
            <wp:posOffset>-446862</wp:posOffset>
          </wp:positionV>
          <wp:extent cx="7772400" cy="995516"/>
          <wp:effectExtent l="0" t="0" r="0" b="0"/>
          <wp:wrapNone/>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p w14:paraId="0352CFB0" w14:textId="77777777" w:rsidR="002D432C" w:rsidRDefault="002D432C">
    <w:pPr>
      <w:pStyle w:val="Encabezado"/>
    </w:pPr>
  </w:p>
  <w:p w14:paraId="1AF64EE2" w14:textId="77777777" w:rsidR="002D432C" w:rsidRDefault="002D432C">
    <w:pPr>
      <w:pStyle w:val="Encabezado"/>
    </w:pPr>
  </w:p>
  <w:p w14:paraId="763CF391" w14:textId="77777777" w:rsidR="007C0397" w:rsidRDefault="007C03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D19"/>
    <w:multiLevelType w:val="hybridMultilevel"/>
    <w:tmpl w:val="2D8E3026"/>
    <w:lvl w:ilvl="0" w:tplc="682CFB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23D06FF"/>
    <w:multiLevelType w:val="hybridMultilevel"/>
    <w:tmpl w:val="ACBACB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180E4D"/>
    <w:multiLevelType w:val="hybridMultilevel"/>
    <w:tmpl w:val="C94630BE"/>
    <w:lvl w:ilvl="0" w:tplc="4F7E1858">
      <w:start w:val="1"/>
      <w:numFmt w:val="lowerLetter"/>
      <w:lvlText w:val="%1."/>
      <w:lvlJc w:val="left"/>
      <w:pPr>
        <w:ind w:left="720" w:hanging="360"/>
      </w:pPr>
    </w:lvl>
    <w:lvl w:ilvl="1" w:tplc="565097C0">
      <w:start w:val="1"/>
      <w:numFmt w:val="lowerLetter"/>
      <w:lvlText w:val="%2."/>
      <w:lvlJc w:val="left"/>
      <w:pPr>
        <w:ind w:left="1440" w:hanging="360"/>
      </w:pPr>
    </w:lvl>
    <w:lvl w:ilvl="2" w:tplc="4E1AC708">
      <w:start w:val="1"/>
      <w:numFmt w:val="lowerRoman"/>
      <w:lvlText w:val="%3."/>
      <w:lvlJc w:val="right"/>
      <w:pPr>
        <w:ind w:left="2160" w:hanging="180"/>
      </w:pPr>
    </w:lvl>
    <w:lvl w:ilvl="3" w:tplc="08307628">
      <w:start w:val="1"/>
      <w:numFmt w:val="decimal"/>
      <w:lvlText w:val="%4."/>
      <w:lvlJc w:val="left"/>
      <w:pPr>
        <w:ind w:left="2880" w:hanging="360"/>
      </w:pPr>
    </w:lvl>
    <w:lvl w:ilvl="4" w:tplc="5742F638">
      <w:start w:val="1"/>
      <w:numFmt w:val="lowerLetter"/>
      <w:lvlText w:val="%5."/>
      <w:lvlJc w:val="left"/>
      <w:pPr>
        <w:ind w:left="3600" w:hanging="360"/>
      </w:pPr>
    </w:lvl>
    <w:lvl w:ilvl="5" w:tplc="6BDE968A">
      <w:start w:val="1"/>
      <w:numFmt w:val="lowerRoman"/>
      <w:lvlText w:val="%6."/>
      <w:lvlJc w:val="right"/>
      <w:pPr>
        <w:ind w:left="4320" w:hanging="180"/>
      </w:pPr>
    </w:lvl>
    <w:lvl w:ilvl="6" w:tplc="9364FC30">
      <w:start w:val="1"/>
      <w:numFmt w:val="decimal"/>
      <w:lvlText w:val="%7."/>
      <w:lvlJc w:val="left"/>
      <w:pPr>
        <w:ind w:left="5040" w:hanging="360"/>
      </w:pPr>
    </w:lvl>
    <w:lvl w:ilvl="7" w:tplc="7DE89892">
      <w:start w:val="1"/>
      <w:numFmt w:val="lowerLetter"/>
      <w:lvlText w:val="%8."/>
      <w:lvlJc w:val="left"/>
      <w:pPr>
        <w:ind w:left="5760" w:hanging="360"/>
      </w:pPr>
    </w:lvl>
    <w:lvl w:ilvl="8" w:tplc="BD841E40">
      <w:start w:val="1"/>
      <w:numFmt w:val="lowerRoman"/>
      <w:lvlText w:val="%9."/>
      <w:lvlJc w:val="right"/>
      <w:pPr>
        <w:ind w:left="6480" w:hanging="180"/>
      </w:pPr>
    </w:lvl>
  </w:abstractNum>
  <w:abstractNum w:abstractNumId="4">
    <w:nsid w:val="1A114122"/>
    <w:multiLevelType w:val="hybridMultilevel"/>
    <w:tmpl w:val="9A88BC3E"/>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cs="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9443CE"/>
    <w:multiLevelType w:val="hybridMultilevel"/>
    <w:tmpl w:val="E75EBDEE"/>
    <w:lvl w:ilvl="0" w:tplc="DB8AF670">
      <w:start w:val="1"/>
      <w:numFmt w:val="decimal"/>
      <w:lvlText w:val="%1."/>
      <w:lvlJc w:val="left"/>
      <w:pPr>
        <w:ind w:left="682" w:hanging="360"/>
      </w:pPr>
      <w:rPr>
        <w:rFonts w:hint="default"/>
        <w:b/>
      </w:rPr>
    </w:lvl>
    <w:lvl w:ilvl="1" w:tplc="240A0019" w:tentative="1">
      <w:start w:val="1"/>
      <w:numFmt w:val="lowerLetter"/>
      <w:lvlText w:val="%2."/>
      <w:lvlJc w:val="left"/>
      <w:pPr>
        <w:ind w:left="1402" w:hanging="360"/>
      </w:pPr>
    </w:lvl>
    <w:lvl w:ilvl="2" w:tplc="240A001B" w:tentative="1">
      <w:start w:val="1"/>
      <w:numFmt w:val="lowerRoman"/>
      <w:lvlText w:val="%3."/>
      <w:lvlJc w:val="right"/>
      <w:pPr>
        <w:ind w:left="2122" w:hanging="180"/>
      </w:pPr>
    </w:lvl>
    <w:lvl w:ilvl="3" w:tplc="240A000F" w:tentative="1">
      <w:start w:val="1"/>
      <w:numFmt w:val="decimal"/>
      <w:lvlText w:val="%4."/>
      <w:lvlJc w:val="left"/>
      <w:pPr>
        <w:ind w:left="2842" w:hanging="360"/>
      </w:pPr>
    </w:lvl>
    <w:lvl w:ilvl="4" w:tplc="240A0019" w:tentative="1">
      <w:start w:val="1"/>
      <w:numFmt w:val="lowerLetter"/>
      <w:lvlText w:val="%5."/>
      <w:lvlJc w:val="left"/>
      <w:pPr>
        <w:ind w:left="3562" w:hanging="360"/>
      </w:pPr>
    </w:lvl>
    <w:lvl w:ilvl="5" w:tplc="240A001B" w:tentative="1">
      <w:start w:val="1"/>
      <w:numFmt w:val="lowerRoman"/>
      <w:lvlText w:val="%6."/>
      <w:lvlJc w:val="right"/>
      <w:pPr>
        <w:ind w:left="4282" w:hanging="180"/>
      </w:pPr>
    </w:lvl>
    <w:lvl w:ilvl="6" w:tplc="240A000F" w:tentative="1">
      <w:start w:val="1"/>
      <w:numFmt w:val="decimal"/>
      <w:lvlText w:val="%7."/>
      <w:lvlJc w:val="left"/>
      <w:pPr>
        <w:ind w:left="5002" w:hanging="360"/>
      </w:pPr>
    </w:lvl>
    <w:lvl w:ilvl="7" w:tplc="240A0019" w:tentative="1">
      <w:start w:val="1"/>
      <w:numFmt w:val="lowerLetter"/>
      <w:lvlText w:val="%8."/>
      <w:lvlJc w:val="left"/>
      <w:pPr>
        <w:ind w:left="5722" w:hanging="360"/>
      </w:pPr>
    </w:lvl>
    <w:lvl w:ilvl="8" w:tplc="240A001B" w:tentative="1">
      <w:start w:val="1"/>
      <w:numFmt w:val="lowerRoman"/>
      <w:lvlText w:val="%9."/>
      <w:lvlJc w:val="right"/>
      <w:pPr>
        <w:ind w:left="6442" w:hanging="180"/>
      </w:pPr>
    </w:lvl>
  </w:abstractNum>
  <w:abstractNum w:abstractNumId="6">
    <w:nsid w:val="23F93EFA"/>
    <w:multiLevelType w:val="multilevel"/>
    <w:tmpl w:val="A3B62946"/>
    <w:lvl w:ilvl="0">
      <w:start w:val="1"/>
      <w:numFmt w:val="decimal"/>
      <w:lvlText w:val="%1."/>
      <w:lvlJc w:val="left"/>
      <w:pPr>
        <w:ind w:left="786" w:hanging="360"/>
      </w:pPr>
      <w:rPr>
        <w:b/>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5E86EFA"/>
    <w:multiLevelType w:val="hybridMultilevel"/>
    <w:tmpl w:val="60DEAB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163425F"/>
    <w:multiLevelType w:val="singleLevel"/>
    <w:tmpl w:val="42E0128A"/>
    <w:lvl w:ilvl="0">
      <w:start w:val="1"/>
      <w:numFmt w:val="decimal"/>
      <w:lvlText w:val="%1. "/>
      <w:legacy w:legacy="1" w:legacySpace="0" w:legacyIndent="360"/>
      <w:lvlJc w:val="left"/>
      <w:pPr>
        <w:ind w:left="360" w:hanging="360"/>
      </w:pPr>
      <w:rPr>
        <w:rFonts w:ascii="Arial" w:hAnsi="Arial" w:hint="default"/>
        <w:b w:val="0"/>
        <w:i w:val="0"/>
        <w:color w:val="auto"/>
        <w:sz w:val="20"/>
      </w:rPr>
    </w:lvl>
  </w:abstractNum>
  <w:num w:numId="1">
    <w:abstractNumId w:val="3"/>
  </w:num>
  <w:num w:numId="2">
    <w:abstractNumId w:val="10"/>
  </w:num>
  <w:num w:numId="3">
    <w:abstractNumId w:val="10"/>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4">
    <w:abstractNumId w:val="9"/>
  </w:num>
  <w:num w:numId="5">
    <w:abstractNumId w:val="8"/>
  </w:num>
  <w:num w:numId="6">
    <w:abstractNumId w:val="2"/>
  </w:num>
  <w:num w:numId="7">
    <w:abstractNumId w:val="0"/>
  </w:num>
  <w:num w:numId="8">
    <w:abstractNumId w:val="1"/>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04C69"/>
    <w:rsid w:val="00071CCA"/>
    <w:rsid w:val="00071CCE"/>
    <w:rsid w:val="00087E77"/>
    <w:rsid w:val="000D3207"/>
    <w:rsid w:val="000F7B5D"/>
    <w:rsid w:val="00117772"/>
    <w:rsid w:val="00133824"/>
    <w:rsid w:val="00150B7A"/>
    <w:rsid w:val="001630B4"/>
    <w:rsid w:val="00234F90"/>
    <w:rsid w:val="00272C67"/>
    <w:rsid w:val="002D0A3E"/>
    <w:rsid w:val="002D432C"/>
    <w:rsid w:val="00327172"/>
    <w:rsid w:val="003A2037"/>
    <w:rsid w:val="00413B0A"/>
    <w:rsid w:val="0048486F"/>
    <w:rsid w:val="004E55D5"/>
    <w:rsid w:val="004F0323"/>
    <w:rsid w:val="005A1973"/>
    <w:rsid w:val="005B2E69"/>
    <w:rsid w:val="00610439"/>
    <w:rsid w:val="0064392C"/>
    <w:rsid w:val="00650F7A"/>
    <w:rsid w:val="006B0D1B"/>
    <w:rsid w:val="006F6BC9"/>
    <w:rsid w:val="00701B43"/>
    <w:rsid w:val="00704534"/>
    <w:rsid w:val="007C0397"/>
    <w:rsid w:val="007F3FCD"/>
    <w:rsid w:val="008802A4"/>
    <w:rsid w:val="008F0F42"/>
    <w:rsid w:val="00915751"/>
    <w:rsid w:val="009160FA"/>
    <w:rsid w:val="00927353"/>
    <w:rsid w:val="00956AC7"/>
    <w:rsid w:val="00960EC2"/>
    <w:rsid w:val="00963710"/>
    <w:rsid w:val="00965643"/>
    <w:rsid w:val="009F6958"/>
    <w:rsid w:val="00A44473"/>
    <w:rsid w:val="00A5656B"/>
    <w:rsid w:val="00A8026E"/>
    <w:rsid w:val="00B0029E"/>
    <w:rsid w:val="00B8710E"/>
    <w:rsid w:val="00C119DB"/>
    <w:rsid w:val="00C277EE"/>
    <w:rsid w:val="00D2073E"/>
    <w:rsid w:val="00D331EF"/>
    <w:rsid w:val="00DE4BE5"/>
    <w:rsid w:val="00DF2BFC"/>
    <w:rsid w:val="00E038DA"/>
    <w:rsid w:val="00E113F8"/>
    <w:rsid w:val="00E267AD"/>
    <w:rsid w:val="00E35470"/>
    <w:rsid w:val="00E57F65"/>
    <w:rsid w:val="00E606B4"/>
    <w:rsid w:val="00EB5348"/>
    <w:rsid w:val="00EF27FD"/>
    <w:rsid w:val="00F421F5"/>
    <w:rsid w:val="00F4406A"/>
    <w:rsid w:val="00F62C21"/>
    <w:rsid w:val="00F76693"/>
    <w:rsid w:val="00F83EBB"/>
    <w:rsid w:val="00FA66EF"/>
    <w:rsid w:val="00FE3FEF"/>
    <w:rsid w:val="00FF1F29"/>
    <w:rsid w:val="112F215C"/>
    <w:rsid w:val="58509E4D"/>
    <w:rsid w:val="6D6EB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A453F"/>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0FA"/>
    <w:pPr>
      <w:suppressAutoHyphens/>
      <w:autoSpaceDN w:val="0"/>
      <w:spacing w:after="200" w:line="276" w:lineRule="auto"/>
      <w:textAlignment w:val="baseline"/>
    </w:pPr>
    <w:rPr>
      <w:rFonts w:ascii="Calibri" w:eastAsia="Calibri" w:hAnsi="Calibri" w:cs="Times New Roman"/>
    </w:rPr>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rsid w:val="00D331EF"/>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b/>
      <w:sz w:val="24"/>
      <w:szCs w:val="20"/>
      <w:lang w:val="en-US" w:eastAsia="es-ES"/>
    </w:rPr>
  </w:style>
  <w:style w:type="paragraph" w:styleId="Lista">
    <w:name w:val="List"/>
    <w:basedOn w:val="Normal"/>
    <w:uiPriority w:val="99"/>
    <w:semiHidden/>
    <w:unhideWhenUsed/>
    <w:rsid w:val="00D331EF"/>
    <w:pPr>
      <w:ind w:left="283" w:hanging="283"/>
      <w:contextualSpacing/>
    </w:pPr>
  </w:style>
  <w:style w:type="character" w:styleId="Hipervnculo">
    <w:name w:val="Hyperlink"/>
    <w:uiPriority w:val="99"/>
    <w:unhideWhenUsed/>
    <w:rsid w:val="00D331EF"/>
    <w:rPr>
      <w:color w:val="0000FF"/>
      <w:u w:val="single"/>
    </w:rPr>
  </w:style>
  <w:style w:type="table" w:styleId="Tablaconcuadrcula">
    <w:name w:val="Table Grid"/>
    <w:basedOn w:val="Tablanormal"/>
    <w:uiPriority w:val="59"/>
    <w:rsid w:val="006B0D1B"/>
    <w:pPr>
      <w:spacing w:after="0" w:line="240" w:lineRule="auto"/>
      <w:jc w:val="both"/>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9160FA"/>
    <w:pPr>
      <w:widowControl w:val="0"/>
      <w:suppressAutoHyphens w:val="0"/>
      <w:autoSpaceDE w:val="0"/>
      <w:spacing w:after="0" w:line="240" w:lineRule="auto"/>
      <w:textAlignment w:val="auto"/>
    </w:pPr>
    <w:rPr>
      <w:rFonts w:cs="Calibri"/>
      <w:lang w:val="es-ES" w:eastAsia="es-ES" w:bidi="es-ES"/>
    </w:rPr>
  </w:style>
  <w:style w:type="character" w:customStyle="1" w:styleId="TextoindependienteCar">
    <w:name w:val="Texto independiente Car"/>
    <w:basedOn w:val="Fuentedeprrafopredeter"/>
    <w:link w:val="Textoindependiente"/>
    <w:uiPriority w:val="1"/>
    <w:rsid w:val="009160FA"/>
    <w:rPr>
      <w:rFonts w:ascii="Calibri" w:eastAsia="Calibri" w:hAnsi="Calibri" w:cs="Calibri"/>
      <w:lang w:val="es-ES" w:eastAsia="es-ES" w:bidi="es-ES"/>
    </w:rPr>
  </w:style>
  <w:style w:type="paragraph" w:customStyle="1" w:styleId="Default">
    <w:name w:val="Default"/>
    <w:rsid w:val="009160F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065B9-CE13-4F43-8A4B-0CC60E5F4F3F}">
  <ds:schemaRefs>
    <ds:schemaRef ds:uri="http://schemas.microsoft.com/sharepoint/v3/contenttype/forms"/>
  </ds:schemaRefs>
</ds:datastoreItem>
</file>

<file path=customXml/itemProps2.xml><?xml version="1.0" encoding="utf-8"?>
<ds:datastoreItem xmlns:ds="http://schemas.openxmlformats.org/officeDocument/2006/customXml" ds:itemID="{C58974D3-99E8-4287-AD35-7E7DDDD6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CBEDC-7C55-4FA1-8D6B-B97988699177}">
  <ds:schemaRef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1b27d580-7c8a-4893-93f2-6f0b9ca24baa"/>
    <ds:schemaRef ds:uri="650d7e0e-2e82-4918-aac5-9e58fc86c5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Rodriguez Jaimes Andrea Paola</cp:lastModifiedBy>
  <cp:revision>3</cp:revision>
  <dcterms:created xsi:type="dcterms:W3CDTF">2021-02-08T23:30:00Z</dcterms:created>
  <dcterms:modified xsi:type="dcterms:W3CDTF">2021-02-08T23:30:00Z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